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pBdr>
          <w:bottom w:val="nil"/>
        </w:pBdr>
        <w:jc w:val="end"/>
        <w:rPr>
          <w:rFonts w:ascii="Arial" w:hAnsi="Arial"/>
          <w:b/>
          <w:color w:val="auto"/>
          <w:sz w:val="22"/>
          <w:szCs w:val="22"/>
        </w:rPr>
      </w:pPr>
      <w:r>
        <w:rPr>
          <w:rFonts w:ascii="Arial" w:hAnsi="Arial"/>
          <w:b/>
          <w:color w:val="auto"/>
          <w:sz w:val="22"/>
          <w:szCs w:val="22"/>
        </w:rPr>
        <w:t>III.</w:t>
      </w:r>
    </w:p>
    <w:p>
      <w:pPr>
        <w:pStyle w:val="Normal"/>
        <w:rPr>
          <w:lang w:val="en-US"/>
        </w:rPr>
      </w:pPr>
      <w:r>
        <w:rPr>
          <w:lang w:val="en-US"/>
        </w:rPr>
      </w:r>
    </w:p>
    <w:p>
      <w:pPr>
        <w:pStyle w:val="Title"/>
        <w:pBdr>
          <w:bottom w:val="nil"/>
        </w:pBdr>
        <w:jc w:val="center"/>
        <w:rPr>
          <w:rFonts w:ascii="Arial" w:hAnsi="Arial"/>
          <w:b/>
          <w:bCs/>
          <w:color w:val="auto"/>
          <w:sz w:val="28"/>
          <w:szCs w:val="28"/>
          <w:lang w:val="cs-CZ"/>
        </w:rPr>
      </w:pPr>
      <w:r>
        <w:rPr>
          <w:rFonts w:ascii="Arial" w:hAnsi="Arial"/>
          <w:b/>
          <w:color w:val="auto"/>
          <w:sz w:val="28"/>
          <w:szCs w:val="28"/>
        </w:rPr>
        <w:t xml:space="preserve">Návrh </w:t>
      </w:r>
      <w:r>
        <w:rPr>
          <w:rFonts w:ascii="Arial" w:hAnsi="Arial"/>
          <w:b/>
          <w:bCs/>
          <w:color w:val="auto"/>
          <w:sz w:val="28"/>
          <w:szCs w:val="28"/>
          <w:lang w:val="cs-CZ"/>
        </w:rPr>
        <w:t>věcného záměru zákona o vysokých školách</w:t>
      </w:r>
    </w:p>
    <w:p>
      <w:pPr>
        <w:pStyle w:val="Normal"/>
        <w:rPr>
          <w:highlight w:val="yellow"/>
        </w:rPr>
      </w:pPr>
      <w:r>
        <w:rPr>
          <w:highlight w:val="yellow"/>
        </w:rPr>
      </w:r>
    </w:p>
    <w:p>
      <w:pPr>
        <w:pStyle w:val="Heading2"/>
        <w:shd w:val="clear" w:color="auto" w:fill="548DD4" w:themeFill="text2" w:themeFillTint="99"/>
        <w:rPr>
          <w:rFonts w:ascii="Arial" w:hAnsi="Arial" w:eastAsia="Arial"/>
          <w:color w:val="auto"/>
          <w:sz w:val="20"/>
          <w:szCs w:val="20"/>
        </w:rPr>
      </w:pPr>
      <w:r>
        <w:rPr>
          <w:rFonts w:eastAsia="Arial" w:ascii="Arial" w:hAnsi="Arial"/>
          <w:color w:val="auto"/>
          <w:sz w:val="20"/>
          <w:szCs w:val="20"/>
        </w:rPr>
        <w:t xml:space="preserve">1. Úvod: účel věcného záměru a shrnutí hlavních cílů </w:t>
      </w:r>
    </w:p>
    <w:p>
      <w:pPr>
        <w:pStyle w:val="Normal"/>
        <w:spacing w:lineRule="auto" w:line="278" w:before="0" w:after="160"/>
        <w:jc w:val="both"/>
        <w:rPr/>
      </w:pPr>
      <w:r>
        <w:rPr/>
        <w:t>Předkládaný věcný záměr zákona o vysokých školách představuje koncepční základ nové právní úpravy vysokého školství, jejímž účelem je vytvořit podmínky pro dlouhodobý rozvoj vysokých škol jako vrcholných institucí vzdělanosti, vědeckého poznání, výzkumu, inovací a společenského rozvoje a současně posílit kvalitu jejich vzdělávací, tvůrčí a dalších souvisejících činností. Právní rámec obsažený v zákoně č. 111/1998 Sb., o vysokých školách a o změně a doplnění dalších zákonů (zákon o vysokých školách), ve znění pozdějších předpisů, byť opakovaně novelizovaný, již v řadě oblastí neodpovídá současným potřebám vysokých škol ani změnám, kterými prošlo české i evropské vysoké školství v posledních desetiletích. Současná právní úprava jen omezeně podporuje strategické řízení vysokých škol, systematické řízení a rozvoj kvality, dlouhodobé plánování jejich rozvoje, moderní personální politiku, flexibilní vzdělávací cesty, efektivní systémy zajišťování kvality a schopnost vysokých škol reagovat na měnící se potřeby společnosti, trhu práce a Evropského prostoru vysokoškolského vzdělávání.</w:t>
      </w:r>
    </w:p>
    <w:p>
      <w:pPr>
        <w:pStyle w:val="Normal"/>
        <w:spacing w:lineRule="auto" w:line="278" w:before="0" w:after="160"/>
        <w:jc w:val="both"/>
        <w:rPr/>
      </w:pPr>
      <w:r>
        <w:rPr/>
        <w:t>Hlavním cílem navrhované právní úpravy je vytvořit moderní, vnitřně provázaný a dlouhodobě udržitelný systém, který podpoří soustavné zvyšování kvality ve všech oblastech činnosti vysokých škol a současně posílí jejich dostupnost, efektivitu, společenskou relevanci a mezinárodní konkurenceschopnost při zachování akademických svobod, institucionální autonomie a samosprávného charakteru vysokých škol. Návrh směřuje k posílení odpovědnosti za dosahované výsledky a kvalitu, transparentnosti rozhodovacích procesů a schopnosti vysokých škol strategicky naplňovat své poslání ve vzdělávání, výzkumu a službě společnosti.</w:t>
      </w:r>
    </w:p>
    <w:p>
      <w:pPr>
        <w:pStyle w:val="Normal"/>
        <w:spacing w:lineRule="auto" w:line="278" w:before="0" w:after="160"/>
        <w:jc w:val="both"/>
        <w:rPr/>
      </w:pPr>
      <w:r>
        <w:rPr/>
        <w:t>Klíčovým východiskem návrhu je reforma legislativního ukotvení systému řízení vysokých škol. Jejím cílem je vytvořit akceschopný systém založený na jasném vymezení kompetencí a odpovědností jednotlivých orgánů, posílení institucionálního řízení vysokých škol jako celku a vytvoření podmínek pro účinnější realizaci dlouhodobých rozvojových strategií a systémový rozvoj kvality. Součástí této změny je také systémové zapojení externích stakeholderů do strategického směřování vysokých škol a vytvoření větší flexibility při nastavování jejich vnitřní organizace s ohledem na rozdílné poslání, velikost a charakter jednotlivých institucí. Cílem není oslabit akademickou samosprávu, ale vytvořit rovnováhu mezi autonomií, odpovědností, kvalitou a akceschopností řízení.</w:t>
      </w:r>
    </w:p>
    <w:p>
      <w:pPr>
        <w:pStyle w:val="Normal"/>
        <w:spacing w:lineRule="auto" w:line="278" w:before="0" w:after="160"/>
        <w:jc w:val="both"/>
        <w:rPr/>
      </w:pPr>
      <w:r>
        <w:rPr/>
        <w:t>Reforma řízení je současně chápána jako předpoklad modernizace dalších oblastí fungování vysokého školství. V oblasti financování návrh vytváří podmínky pro zavedení víceletého kontraktového financování veřejných vysokých škol založeného na strategickém dialogu mezi Ministerstvem školství, mládeže a tělovýchovy (dále také „ministerstvo“, „MŠMT“) a veřejnými vysokými školami. Navrhovaná úprava vytváří předpoklady pro vyšší předvídatelnost financování, silnější vazbu mezi poskytováním veřejných prostředků, kvalitou a dlouhodobými rozvojovými cíli vysokých škol a posílení jejich institucionální odpovědnosti za dosahované výsledky. Součástí návrhu je rovněž modernizace pravidel hospodaření, revize systému fondů a vytvoření legislativního rámce pro odpovědné využívání finančních nástrojů podporujících dlouhodobý rozvoj a zvyšování kvality vysokých škol.</w:t>
      </w:r>
    </w:p>
    <w:p>
      <w:pPr>
        <w:pStyle w:val="Normal"/>
        <w:spacing w:lineRule="auto" w:line="278" w:before="0" w:after="160"/>
        <w:jc w:val="both"/>
        <w:rPr/>
      </w:pPr>
      <w:r>
        <w:rPr/>
        <w:t>V oblasti akademických kariér návrh usiluje o vytvoření transparentního, flexibilního a mezinárodně srovnatelného systému profesního rozvoje akademických pracovníků. Cílem je překonat současný model založený převážně na jednorázově získaném profesním statusu a vytvořit prostředí podporující dlouhodobý profesní rozvoj, pravidelné hodnocení, otevřenost akademického prostředí a větší diverzifikaci akademických rolí. Navrhovaná úprava má současně posílit atraktivitu akademické kariéry, podpořit excelenci ve vzdělávací a tvůrčí činnosti a umožnit vysokým školám aktivněji rozvíjet svou personální politiku v souladu s jejich strategickými prioritami a požadavky na kvalitu.</w:t>
      </w:r>
    </w:p>
    <w:p>
      <w:pPr>
        <w:pStyle w:val="Normal"/>
        <w:spacing w:lineRule="auto" w:line="278" w:before="0" w:after="160"/>
        <w:jc w:val="both"/>
        <w:rPr/>
      </w:pPr>
      <w:r>
        <w:rPr/>
        <w:t>V oblasti zajišťování kvality návrh vychází z principu, že hlavní odpovědnost za kvalitu vzdělávací, tvůrčí a dalších činností nesou samotné vysoké školy. Cílem je posílit jejich institucionální odpovědnost za dosahovanou kvalitu, propojit zajišťování kvality se strategickým řízením a harmonizovat český systém s evropskými standardy a doporučeními. Návrh současně vytváří podmínky pro efektivní a méně formálně postavený systém externího hodnocení založený na institucionálním přístupu, podpoře kultury kvality a větší důvěře ve vnitřní mechanismy zajišťování kvality vysokých škol.</w:t>
      </w:r>
    </w:p>
    <w:p>
      <w:pPr>
        <w:pStyle w:val="Normal"/>
        <w:spacing w:lineRule="auto" w:line="278" w:before="0" w:after="160"/>
        <w:jc w:val="both"/>
        <w:rPr/>
      </w:pPr>
      <w:r>
        <w:rPr/>
        <w:t>V oblasti studia návrh reaguje na změny ve způsobech získávání a rozvoje kvalifikací v průběhu života. Jeho cílem je zvýšit flexibilitu vzdělávacích cest, rozšířit možnosti uznávání předchozího vzdělávání a výsledků učení, podpořit rozvoj celoživotního vzdělávání včetně institutu mikrocertifikátů a vytvořit podmínky pro širší zapojení různých skupin obyvatel do vysokoškolského vzdělávání. Současně usiluje o zvyšování kvality vzdělávání, větší kompatibilitu českého systému s Evropským prostorem vysokoškolského vzdělávání a odstranění institucionálních a regulatorních překážek, které komplikují mezinárodní spolupráci a rozvoj společných vzdělávacích aktivit.</w:t>
      </w:r>
    </w:p>
    <w:p>
      <w:pPr>
        <w:pStyle w:val="Normal"/>
        <w:spacing w:lineRule="auto" w:line="278" w:before="0" w:after="160"/>
        <w:jc w:val="both"/>
        <w:rPr/>
      </w:pPr>
      <w:r>
        <w:rPr/>
        <w:t>Společným jmenovatelem navrhovaných změn je posílení odpovědnosti vysokých škol za dosahovanou kvalitu a vytváření podmínek pro její soustavné zvyšování prostřednictvím kvalitnějšího řízení, strategického rozvoje lidských zdrojů, efektivního využívání veřejných prostředků, modernizace studijního prostředí a rozvoje vnitřních mechanismů zajišťování kvality.</w:t>
      </w:r>
    </w:p>
    <w:p>
      <w:pPr>
        <w:pStyle w:val="Normal"/>
        <w:spacing w:lineRule="auto" w:line="278" w:before="0" w:after="160"/>
        <w:jc w:val="both"/>
        <w:rPr/>
      </w:pPr>
      <w:r>
        <w:rPr/>
        <w:t>Předkládaný věcný záměr tak představuje ucelený koncepční rámec reformy vysokého školství, jehož cílem je posílit kvalitu, schopnost a odpovědnost vysokých škol při naplňování jejich vzdělávacího, výzkumného, inovačního a společenského poslání v podmínkách 21. století a vytvořit předpoklady pro jejich dlouhodobý rozvoj a mezinárodní konkurenceschopnost v národním i mezinárodním kontextu.</w:t>
      </w:r>
    </w:p>
    <w:p>
      <w:pPr>
        <w:pStyle w:val="Heading2"/>
        <w:shd w:val="clear" w:color="auto" w:fill="0070C0"/>
        <w:rPr>
          <w:color w:val="auto"/>
        </w:rPr>
      </w:pPr>
      <w:r>
        <w:rPr>
          <w:rFonts w:eastAsia="Arial" w:ascii="Arial" w:hAnsi="Arial"/>
          <w:color w:val="auto"/>
          <w:sz w:val="20"/>
          <w:szCs w:val="20"/>
        </w:rPr>
        <w:t>2. Současná právní úprava</w:t>
      </w:r>
    </w:p>
    <w:p>
      <w:pPr>
        <w:pStyle w:val="Normal"/>
        <w:spacing w:lineRule="auto" w:line="278" w:before="0" w:after="160"/>
        <w:jc w:val="both"/>
        <w:rPr/>
      </w:pPr>
      <w:r>
        <w:rPr/>
        <w:t>Právní úprava vysokého školství v České republice je v současné době založena především na zákoně č. 111/1998 Sb., o vysokých školách a o změně a doplnění dalších zákonů (zákon o vysokých školách), ve znění pozdějších předpisů (dále také „zákon o vysokých školách“, „zákon“). Tento zákon představuje základní právní rámec pro postavení, působnost, organizaci, financování, hodnocení a akreditaci tuzemských vysokých škol, jakož i pro uskutečňování studijních programů a výkon práv a povinností studentů a akademických pracovníků. Zákon upravuje i podmínky působení zahraničních vysokých škol a poskytování zahraničního vysokoškolského vzdělávání v ČR. </w:t>
      </w:r>
    </w:p>
    <w:p>
      <w:pPr>
        <w:pStyle w:val="Normal"/>
        <w:spacing w:lineRule="auto" w:line="278" w:before="0" w:after="160"/>
        <w:jc w:val="both"/>
        <w:rPr/>
      </w:pPr>
      <w:r>
        <w:rPr/>
        <w:t>Účelem zákona o vysokých školách je vytvořit právní podmínky pro činnost vysokých škol jako vrcholných institucí vzdělanosti, nezávislého poznání a tvůrčí činnosti, zajistit svobodu vědeckého bádání, výzkumu, vývoje, inovací a umělecké tvorby, akademické svobody a akademickou samosprávu a současně stanovit pravidla pro výkon veřejné správy v oblasti vysokého školství. </w:t>
      </w:r>
    </w:p>
    <w:p>
      <w:pPr>
        <w:pStyle w:val="Normal"/>
        <w:spacing w:lineRule="auto" w:line="278" w:before="0" w:after="160"/>
        <w:jc w:val="both"/>
        <w:rPr/>
      </w:pPr>
      <w:r>
        <w:rPr/>
        <w:t>Základními zásadami, na nichž je současná právní úprava vystavěna, jsou zejména: </w:t>
      </w:r>
    </w:p>
    <w:p>
      <w:pPr>
        <w:pStyle w:val="Normal"/>
        <w:numPr>
          <w:ilvl w:val="0"/>
          <w:numId w:val="28"/>
        </w:numPr>
        <w:spacing w:lineRule="auto" w:line="278" w:before="0" w:after="160"/>
        <w:jc w:val="both"/>
        <w:rPr/>
      </w:pPr>
      <w:r>
        <w:rPr/>
        <w:t>autonomie vysokých škol a jejich samosprávný charakter, </w:t>
      </w:r>
    </w:p>
    <w:p>
      <w:pPr>
        <w:pStyle w:val="Normal"/>
        <w:numPr>
          <w:ilvl w:val="0"/>
          <w:numId w:val="9"/>
        </w:numPr>
        <w:spacing w:lineRule="auto" w:line="278" w:before="0" w:after="160"/>
        <w:jc w:val="both"/>
        <w:rPr/>
      </w:pPr>
      <w:r>
        <w:rPr/>
        <w:t>akademické svobody a akademická práva, </w:t>
      </w:r>
    </w:p>
    <w:p>
      <w:pPr>
        <w:pStyle w:val="Normal"/>
        <w:numPr>
          <w:ilvl w:val="0"/>
          <w:numId w:val="39"/>
        </w:numPr>
        <w:spacing w:lineRule="auto" w:line="278" w:before="0" w:after="160"/>
        <w:jc w:val="both"/>
        <w:rPr/>
      </w:pPr>
      <w:r>
        <w:rPr/>
        <w:t>rovný přístup ke vzdělání a nediskriminace, </w:t>
      </w:r>
    </w:p>
    <w:p>
      <w:pPr>
        <w:pStyle w:val="Normal"/>
        <w:numPr>
          <w:ilvl w:val="0"/>
          <w:numId w:val="3"/>
        </w:numPr>
        <w:spacing w:lineRule="auto" w:line="278" w:before="0" w:after="160"/>
        <w:jc w:val="both"/>
        <w:rPr/>
      </w:pPr>
      <w:r>
        <w:rPr/>
        <w:t>odpovědnost vysokých škol za kvalitu vzdělávací, tvůrčí a související činnosti, </w:t>
      </w:r>
    </w:p>
    <w:p>
      <w:pPr>
        <w:pStyle w:val="Normal"/>
        <w:numPr>
          <w:ilvl w:val="0"/>
          <w:numId w:val="7"/>
        </w:numPr>
        <w:spacing w:lineRule="auto" w:line="278" w:before="0" w:after="160"/>
        <w:jc w:val="both"/>
        <w:rPr/>
      </w:pPr>
      <w:r>
        <w:rPr/>
        <w:t>veřejná kontrola nakládání s veřejnými prostředky, </w:t>
      </w:r>
    </w:p>
    <w:p>
      <w:pPr>
        <w:pStyle w:val="Normal"/>
        <w:numPr>
          <w:ilvl w:val="0"/>
          <w:numId w:val="38"/>
        </w:numPr>
        <w:spacing w:lineRule="auto" w:line="278" w:before="0" w:after="160"/>
        <w:jc w:val="both"/>
        <w:rPr/>
      </w:pPr>
      <w:r>
        <w:rPr/>
        <w:t>vícezdrojové financování vysokých škol, </w:t>
      </w:r>
    </w:p>
    <w:p>
      <w:pPr>
        <w:pStyle w:val="Normal"/>
        <w:numPr>
          <w:ilvl w:val="0"/>
          <w:numId w:val="18"/>
        </w:numPr>
        <w:spacing w:lineRule="auto" w:line="278" w:before="0" w:after="160"/>
        <w:jc w:val="both"/>
        <w:rPr/>
      </w:pPr>
      <w:r>
        <w:rPr/>
        <w:t>oddělení výkonu státní správy v oblasti vysokého školství od samosprávné působnosti vysokých škol. </w:t>
      </w:r>
    </w:p>
    <w:p>
      <w:pPr>
        <w:pStyle w:val="Normal"/>
        <w:spacing w:lineRule="auto" w:line="278" w:before="0" w:after="160"/>
        <w:jc w:val="both"/>
        <w:rPr/>
      </w:pPr>
      <w:r>
        <w:rPr/>
        <w:t>Současný zákon o vysokých školách obsahuje právní úpravu všech základních oblastí fungování vysokého školství, které jsou předmětem navrhované rekodifikace. </w:t>
      </w:r>
    </w:p>
    <w:p>
      <w:pPr>
        <w:pStyle w:val="Normal"/>
        <w:jc w:val="both"/>
        <w:rPr/>
      </w:pPr>
      <w:r>
        <w:rPr>
          <w:i/>
          <w:iCs/>
        </w:rPr>
        <w:t> </w:t>
      </w:r>
      <w:r>
        <w:rPr/>
        <w:t> </w:t>
      </w:r>
    </w:p>
    <w:p>
      <w:pPr>
        <w:pStyle w:val="Normal"/>
        <w:spacing w:before="0" w:after="200"/>
        <w:rPr/>
      </w:pPr>
      <w:r>
        <w:rPr/>
      </w:r>
      <w:r>
        <w:br w:type="page"/>
      </w:r>
    </w:p>
    <w:p>
      <w:pPr>
        <w:pStyle w:val="Normal"/>
        <w:spacing w:before="0" w:after="0"/>
        <w:jc w:val="both"/>
        <w:rPr/>
      </w:pPr>
      <w:r>
        <w:rPr/>
      </w:r>
    </w:p>
    <w:p>
      <w:pPr>
        <w:pStyle w:val="Normal"/>
        <w:shd w:val="clear" w:color="auto" w:fill="C6D9F1" w:themeFill="text2" w:themeFillTint="33"/>
        <w:spacing w:lineRule="auto" w:line="278" w:before="0" w:after="160"/>
        <w:jc w:val="both"/>
        <w:rPr>
          <w:b/>
          <w:bCs/>
        </w:rPr>
      </w:pPr>
      <w:r>
        <w:rPr>
          <w:b/>
          <w:bCs/>
        </w:rPr>
        <w:t>2.1 Řízení tuzemských vysokých škol</w:t>
      </w:r>
    </w:p>
    <w:p>
      <w:pPr>
        <w:pStyle w:val="Normal"/>
        <w:spacing w:lineRule="auto" w:line="278" w:before="0" w:after="160"/>
        <w:jc w:val="both"/>
        <w:rPr>
          <w:b/>
          <w:bCs/>
        </w:rPr>
      </w:pPr>
      <w:r>
        <w:rPr>
          <w:b/>
          <w:bCs/>
        </w:rPr>
        <w:t>2.1.1 Řízení veřejných vysokých škol</w:t>
      </w:r>
    </w:p>
    <w:p>
      <w:pPr>
        <w:pStyle w:val="Normal"/>
        <w:spacing w:lineRule="auto" w:line="278" w:before="0" w:after="160"/>
        <w:jc w:val="both"/>
        <w:rPr>
          <w:b/>
          <w:bCs/>
        </w:rPr>
      </w:pPr>
      <w:r>
        <w:rPr>
          <w:b/>
          <w:bCs/>
        </w:rPr>
        <w:t>Vnitřní struktura veřejných vysokých škol</w:t>
      </w:r>
    </w:p>
    <w:p>
      <w:pPr>
        <w:pStyle w:val="Normal"/>
        <w:spacing w:lineRule="auto" w:line="278" w:before="0" w:after="160"/>
        <w:jc w:val="both"/>
        <w:rPr/>
      </w:pPr>
      <w:r>
        <w:rPr/>
        <w:t>Veřejná vysoká škola je veřejnoprávní právnickou osobou nadanou autonomií a akademickými svobodami. V rámci samosprávné působnosti podle § 6 zákona o vysokých školách samostatně rozhoduje zejména o své organizaci, vzdělávací a tvůrčí činnosti, personálních otázkách a hospodaření. Její organizaci a činnost upravují vnitřní předpisy.</w:t>
      </w:r>
    </w:p>
    <w:p>
      <w:pPr>
        <w:pStyle w:val="Normal"/>
        <w:spacing w:lineRule="auto" w:line="278" w:before="0" w:after="160"/>
        <w:jc w:val="both"/>
        <w:rPr/>
      </w:pPr>
      <w:r>
        <w:rPr/>
        <w:t>Veřejná vysoká škola se může členit na fakulty, vysokoškolské ústavy a další součásti (§ 22 odst. 1 zákona o vysokých školách). Právní osobnost má pouze veřejná vysoká škola jako celek. Fakulty jsou zvláštními součástmi vybavenými vlastní akademickou samosprávou, ostatní součásti takové postavení nemají.</w:t>
      </w:r>
    </w:p>
    <w:p>
      <w:pPr>
        <w:pStyle w:val="Normal"/>
        <w:spacing w:lineRule="auto" w:line="278" w:before="0" w:after="160"/>
        <w:jc w:val="both"/>
        <w:rPr/>
      </w:pPr>
      <w:r>
        <w:rPr/>
        <w:t>Orgány veřejné vysoké školy i fakulty se dělí na samosprávné akademické orgány a další orgány (§ 7 a § 25 zákona o vysokých školách). Fakulty vykonávají vlastní samosprávnou působnost podle § 24 zákona o vysokých školách, zejména ve věcech vnitřní organizace, pracovněprávních vztahů, nakládání s přidělenými prostředky a habilitačních řízení a řízení ke jmenování profesorem.</w:t>
      </w:r>
    </w:p>
    <w:p>
      <w:pPr>
        <w:pStyle w:val="Normal"/>
        <w:spacing w:lineRule="auto" w:line="278" w:before="0" w:after="160"/>
        <w:jc w:val="both"/>
        <w:rPr>
          <w:b/>
          <w:bCs/>
        </w:rPr>
      </w:pPr>
      <w:r>
        <w:rPr>
          <w:b/>
          <w:bCs/>
        </w:rPr>
        <w:t>Centrální orgány veřejných vysokých škol</w:t>
      </w:r>
    </w:p>
    <w:p>
      <w:pPr>
        <w:pStyle w:val="Normal"/>
        <w:spacing w:lineRule="auto" w:line="278" w:before="0" w:after="160"/>
        <w:jc w:val="both"/>
        <w:rPr/>
      </w:pPr>
      <w:r>
        <w:rPr/>
        <w:t>Orgány veřejné vysoké školy jsou uvedeny v § 7 zákona o vysokých školách. Samosprávnými akademickými orgány jsou akademický senát, rektor, vědecká rada (popřípadě umělecká nebo akademická rada), rada pro vnitřní hodnocení a v příslušných případech disciplinární komise. Dalšími orgány jsou správní rada a kvestor.</w:t>
      </w:r>
    </w:p>
    <w:p>
      <w:pPr>
        <w:pStyle w:val="Normal"/>
        <w:spacing w:lineRule="auto" w:line="278" w:before="0" w:after="160"/>
        <w:jc w:val="both"/>
        <w:rPr/>
      </w:pPr>
      <w:r>
        <w:rPr/>
        <w:t>Akademický senát veřejné vysoké školy (§ 8 a 9 zákona o vysokých školách) je zastupitelským orgánem voleným akademickou obcí. Schvaluje klíčové vnitřní předpisy a strategické dokumenty, podílí se na obsazování funkcí rektora a dalších orgánů a vykonává kontrolní působnost.</w:t>
      </w:r>
    </w:p>
    <w:p>
      <w:pPr>
        <w:pStyle w:val="Normal"/>
        <w:spacing w:lineRule="auto" w:line="278" w:before="0" w:after="160"/>
        <w:jc w:val="both"/>
        <w:rPr/>
      </w:pPr>
      <w:r>
        <w:rPr/>
        <w:t>Rektor (§ 10 zákona o vysokých školách) stojí v čele veřejné vysoké školy jako její statutární orgán. Je jmenován prezidentem republiky na návrh akademického senátu</w:t>
      </w:r>
      <w:r>
        <w:rPr>
          <w:rFonts w:cs="Arial"/>
        </w:rPr>
        <w:t xml:space="preserve"> veřejné vysoké školy</w:t>
      </w:r>
      <w:r>
        <w:rPr/>
        <w:t>. Odpovídá za řízení školy, hospodaření, výkon řady správních pravomocí a za vztahy k fakultám.</w:t>
      </w:r>
    </w:p>
    <w:p>
      <w:pPr>
        <w:pStyle w:val="Normal"/>
        <w:spacing w:lineRule="auto" w:line="278" w:before="0" w:after="160"/>
        <w:jc w:val="both"/>
        <w:rPr/>
      </w:pPr>
      <w:r>
        <w:rPr/>
        <w:t>Vědecká rada, umělecká rada nebo akademická rada (§ 11 a 12 zákona o vysokých školách) je vrcholným odborným orgánem vysoké školy zejména pro otázky tvůrčí činnosti, akreditací a kvalifikačních řízení.</w:t>
      </w:r>
    </w:p>
    <w:p>
      <w:pPr>
        <w:pStyle w:val="Normal"/>
        <w:spacing w:lineRule="auto" w:line="278" w:before="0" w:after="160"/>
        <w:jc w:val="both"/>
        <w:rPr/>
      </w:pPr>
      <w:r>
        <w:rPr/>
        <w:t>Rada pro vnitřní hodnocení (§ 12a zákona o vysokých školách) zabezpečuje systém zajišťování a hodnocení kvality a je povinná u vysokých škol s institucionální akreditací.</w:t>
      </w:r>
    </w:p>
    <w:p>
      <w:pPr>
        <w:pStyle w:val="Normal"/>
        <w:spacing w:lineRule="auto" w:line="278" w:before="0" w:after="160"/>
        <w:jc w:val="both"/>
        <w:rPr/>
      </w:pPr>
      <w:r>
        <w:rPr/>
        <w:t>Disciplinární komise veřejné vysoké školy (§ 13 zákona o vysokých školách) projednává disciplinární přestupky studentů nezapsaných na fakultách.</w:t>
      </w:r>
    </w:p>
    <w:p>
      <w:pPr>
        <w:pStyle w:val="Normal"/>
        <w:spacing w:lineRule="auto" w:line="278" w:before="0" w:after="160"/>
        <w:jc w:val="both"/>
        <w:rPr/>
      </w:pPr>
      <w:r>
        <w:rPr/>
        <w:t>Správní rada (§ 14 a 15 zákona o vysokých školách) dohlíží na naplňování veřejného zájmu a hospodaření školy a schvaluje významné majetkové dispozice.</w:t>
      </w:r>
    </w:p>
    <w:p>
      <w:pPr>
        <w:pStyle w:val="Normal"/>
        <w:spacing w:lineRule="auto" w:line="278" w:before="0" w:after="160"/>
        <w:jc w:val="both"/>
        <w:rPr/>
      </w:pPr>
      <w:r>
        <w:rPr/>
        <w:t>Kvestor (§ 16 zákona o vysokých školách) řídí hospodaření a vnitřní správu školy.</w:t>
      </w:r>
    </w:p>
    <w:p>
      <w:pPr>
        <w:pStyle w:val="Normal"/>
        <w:spacing w:lineRule="auto" w:line="278" w:before="0" w:after="160"/>
        <w:jc w:val="both"/>
        <w:rPr>
          <w:b/>
          <w:bCs/>
        </w:rPr>
      </w:pPr>
      <w:r>
        <w:rPr>
          <w:b/>
          <w:bCs/>
        </w:rPr>
        <w:t>Fakultní orgány veřejných vysokých škol</w:t>
      </w:r>
    </w:p>
    <w:p>
      <w:pPr>
        <w:pStyle w:val="Normal"/>
        <w:spacing w:lineRule="auto" w:line="278" w:before="0" w:after="160"/>
        <w:jc w:val="both"/>
        <w:rPr/>
      </w:pPr>
      <w:r>
        <w:rPr/>
        <w:t>Orgány fakulty jsou vymezeny v § 25 zákona o vysokých školách. Tvoří je akademický senát fakulty, děkan, vědecká nebo umělecká rada fakulty, disciplinární komise fakulty a tajemník.</w:t>
      </w:r>
    </w:p>
    <w:p>
      <w:pPr>
        <w:pStyle w:val="Normal"/>
        <w:spacing w:lineRule="auto" w:line="278" w:before="0" w:after="160"/>
        <w:jc w:val="both"/>
        <w:rPr/>
      </w:pPr>
      <w:r>
        <w:rPr/>
        <w:t>Akademický senát fakulty (§ 26 a 27 zákona o vysokých školách) je samosprávným zastupitelským orgánem akademické obce fakulty. Schvaluje základní dokumenty fakulty a navrhuje jmenování nebo odvolání děkana.</w:t>
      </w:r>
    </w:p>
    <w:p>
      <w:pPr>
        <w:pStyle w:val="Normal"/>
        <w:spacing w:lineRule="auto" w:line="278" w:before="0" w:after="160"/>
        <w:jc w:val="both"/>
        <w:rPr/>
      </w:pPr>
      <w:r>
        <w:rPr/>
        <w:t>Děkan (§ 28 zákona o vysokých školách) stojí v čele fakulty a odpovídá za její řízení. Jmenuje jej rektor na návrh akademického senátu fakulty.</w:t>
      </w:r>
    </w:p>
    <w:p>
      <w:pPr>
        <w:pStyle w:val="Normal"/>
        <w:spacing w:lineRule="auto" w:line="278" w:before="0" w:after="160"/>
        <w:jc w:val="both"/>
        <w:rPr/>
      </w:pPr>
      <w:r>
        <w:rPr/>
        <w:t>Vědecká rada fakulty (§ 29 a 30 zákona o vysokých školách) vykonává působnost zejména v oblasti studijních programů, habilitačních řízení a řízení ke jmenování profesorem.</w:t>
      </w:r>
    </w:p>
    <w:p>
      <w:pPr>
        <w:pStyle w:val="Normal"/>
        <w:spacing w:lineRule="auto" w:line="278" w:before="0" w:after="160"/>
        <w:jc w:val="both"/>
        <w:rPr/>
      </w:pPr>
      <w:r>
        <w:rPr/>
        <w:t>Disciplinární komise fakulty (§ 31 zákona o vysokých školách) projednává disciplinární přestupky studentů fakulty.</w:t>
      </w:r>
    </w:p>
    <w:p>
      <w:pPr>
        <w:pStyle w:val="Normal"/>
        <w:spacing w:lineRule="auto" w:line="278" w:before="0" w:after="160"/>
        <w:jc w:val="both"/>
        <w:rPr/>
      </w:pPr>
      <w:r>
        <w:rPr/>
        <w:t>Tajemník fakulty (§ 32 zákona o vysokých školách) řídí hospodaření a vnitřní správu fakulty.</w:t>
      </w:r>
    </w:p>
    <w:p>
      <w:pPr>
        <w:pStyle w:val="Normal"/>
        <w:spacing w:lineRule="auto" w:line="278" w:before="0" w:after="160"/>
        <w:jc w:val="both"/>
        <w:rPr>
          <w:b/>
          <w:bCs/>
        </w:rPr>
      </w:pPr>
      <w:r>
        <w:rPr>
          <w:b/>
          <w:bCs/>
        </w:rPr>
        <w:t>Zásahy státu do výkonu působnosti orgánů veřejných vysokých škol a jejich součástí</w:t>
      </w:r>
    </w:p>
    <w:p>
      <w:pPr>
        <w:pStyle w:val="Normal"/>
        <w:spacing w:lineRule="auto" w:line="278" w:before="0" w:after="160"/>
        <w:jc w:val="both"/>
        <w:rPr/>
      </w:pPr>
      <w:r>
        <w:rPr/>
        <w:t>Nejsou-li orgány veřejné vysoké školy nebo její součásti ustaveny nebo nastanou-li jiné závažné nedostatky, může ministerstvo omezit nebo odejmout výkon jejich působnosti (§ 38 zákona o vysokých školách). Působnost orgánů veřejné vysoké školy pak přechází na ministerstvo nebo jím pověřenou vysokou školu, působnost orgánů součásti na rektora.</w:t>
      </w:r>
    </w:p>
    <w:p>
      <w:pPr>
        <w:pStyle w:val="Normal"/>
        <w:spacing w:lineRule="auto" w:line="278" w:before="0" w:after="160"/>
        <w:jc w:val="both"/>
        <w:rPr/>
      </w:pPr>
      <w:r>
        <w:rPr/>
        <w:t>Nově zřízená veřejná vysoká škola musí ustavit své orgány do dvou let od zřízení, fakulta do jednoho roku (§ 103 zákona o vysokých školách). Do jejich ustavení vykonávají nezbytnou působnost pověřené osoby.</w:t>
      </w:r>
    </w:p>
    <w:p>
      <w:pPr>
        <w:pStyle w:val="Normal"/>
        <w:spacing w:lineRule="auto" w:line="278" w:before="0" w:after="160"/>
        <w:jc w:val="both"/>
        <w:rPr>
          <w:b/>
          <w:bCs/>
        </w:rPr>
      </w:pPr>
      <w:r>
        <w:rPr>
          <w:b/>
          <w:bCs/>
        </w:rPr>
        <w:t>2.1.2 Orgány soukromých vysokých škol</w:t>
      </w:r>
    </w:p>
    <w:p>
      <w:pPr>
        <w:pStyle w:val="Normal"/>
        <w:spacing w:lineRule="auto" w:line="278" w:before="0" w:after="160"/>
        <w:jc w:val="both"/>
        <w:rPr/>
      </w:pPr>
      <w:r>
        <w:rPr/>
        <w:t>Zákon o vysokých školách nestanoví konkrétní akademické orgány soukromých vysokých škol. Podle § 41 odst. 1 zákona o vysokých školách určuje jejich vnitřní uspořádání a rozdělení působnosti samotná soukromá vysoká škola prostřednictvím svých vnitřních předpisů.</w:t>
      </w:r>
    </w:p>
    <w:p>
      <w:pPr>
        <w:pStyle w:val="Normal"/>
        <w:spacing w:lineRule="auto" w:line="278" w:before="0" w:after="160"/>
        <w:jc w:val="both"/>
        <w:rPr>
          <w:b/>
          <w:bCs/>
        </w:rPr>
      </w:pPr>
      <w:r>
        <w:rPr>
          <w:b/>
          <w:bCs/>
        </w:rPr>
        <w:t>2.1.3 Orgány státních vysokých škol</w:t>
      </w:r>
    </w:p>
    <w:p>
      <w:pPr>
        <w:pStyle w:val="Normal"/>
        <w:spacing w:lineRule="auto" w:line="278" w:before="0" w:after="160"/>
        <w:jc w:val="both"/>
        <w:rPr/>
      </w:pPr>
      <w:r>
        <w:rPr/>
        <w:t>Na státní vysoké školy se použije právní úprava veřejných vysokých škol, s výjimkou správní rady (§ 95 odst. 1 zákona o vysokých školách). Orgány státních vysokých škol mají obdobnou působnost jako orgány veřejných vysokých škol, přičemž některé pravomoci vykonává Ministerstvo obrany nebo Ministerstvo vnitra (§ 95 zákona o vysokých školách).</w:t>
      </w:r>
    </w:p>
    <w:p>
      <w:pPr>
        <w:pStyle w:val="Normal"/>
        <w:spacing w:lineRule="auto" w:line="278" w:before="0" w:after="160"/>
        <w:jc w:val="both"/>
        <w:rPr/>
      </w:pPr>
      <w:r>
        <w:rPr/>
        <w:t>Při neustavení orgánů nebo jiných závažných nedostatcích může příslušné ministerstvo omezit nebo odejmout výkon jejich působnosti (§ 38 a § 95 zákona o vysokých školách). Nově zřízené státní vysoké školy, jejich fakulty a vysokoškolské ústavy ustavují své orgány v obdobných lhůtách jako veřejné vysoké školy (§ 103 ve spojení s § 95 zákona o vysokých školách).</w:t>
      </w:r>
    </w:p>
    <w:p>
      <w:pPr>
        <w:pStyle w:val="Normal"/>
        <w:spacing w:lineRule="auto" w:line="278" w:before="0" w:after="160"/>
        <w:jc w:val="both"/>
        <w:rPr/>
      </w:pPr>
      <w:r>
        <w:rPr/>
      </w:r>
    </w:p>
    <w:p>
      <w:pPr>
        <w:pStyle w:val="Normal"/>
        <w:shd w:val="clear" w:color="auto" w:fill="C6D9F1" w:themeFill="text2" w:themeFillTint="33"/>
        <w:spacing w:lineRule="auto" w:line="278" w:before="0" w:after="160"/>
        <w:jc w:val="both"/>
        <w:rPr>
          <w:b/>
          <w:bCs/>
        </w:rPr>
      </w:pPr>
      <w:r>
        <w:rPr>
          <w:b/>
          <w:bCs/>
        </w:rPr>
        <w:t>2.2 Financování vysokých škol a hospodaření</w:t>
      </w:r>
    </w:p>
    <w:p>
      <w:pPr>
        <w:pStyle w:val="Normal"/>
        <w:jc w:val="both"/>
        <w:rPr>
          <w:b/>
          <w:bCs/>
        </w:rPr>
      </w:pPr>
      <w:r>
        <w:rPr>
          <w:b/>
          <w:bCs/>
        </w:rPr>
      </w:r>
    </w:p>
    <w:p>
      <w:pPr>
        <w:pStyle w:val="Normal"/>
        <w:jc w:val="both"/>
        <w:rPr/>
      </w:pPr>
      <w:r>
        <w:rPr>
          <w:b/>
          <w:bCs/>
        </w:rPr>
        <w:t>2.2.1 Financování vysokých škol</w:t>
      </w:r>
    </w:p>
    <w:p>
      <w:pPr>
        <w:pStyle w:val="Normal"/>
        <w:spacing w:lineRule="auto" w:line="278" w:before="0" w:after="160"/>
        <w:jc w:val="both"/>
        <w:rPr/>
      </w:pPr>
      <w:r>
        <w:rPr/>
        <w:t>Financování veřejných vysokých škol upravují především § 18 a 18a zákona o vysokých školách. Na poskytování prostředků ze státního rozpočtu se současně vztahuje zákon o rozpočtových pravidlech</w:t>
      </w:r>
      <w:r>
        <w:rPr>
          <w:rFonts w:cs="Arial"/>
        </w:rPr>
        <w:t>, nestanoví-li zákon o vysokých školách jinak</w:t>
      </w:r>
      <w:r>
        <w:rPr/>
        <w:t>.</w:t>
      </w:r>
    </w:p>
    <w:p>
      <w:pPr>
        <w:pStyle w:val="Normal"/>
        <w:spacing w:lineRule="auto" w:line="278" w:before="0" w:after="160"/>
        <w:jc w:val="both"/>
        <w:rPr/>
      </w:pPr>
      <w:r>
        <w:rPr/>
        <w:t>Veřejná vysoká škola má podle § 18 odst. 2 a 3 zákona o vysokých školách nárok na příspěvek ze státního rozpočtu na vzdělávací a tvůrčí činnost. Podmínky poskytování a obecná kritéria pro určení výše příspěvku stanoví § 18 odst. 3 a § 18a zákona o vysokých školách. Při stanovení výše příspěvku se zohledňují zejména typ a finanční náročnost akreditovaných studijních programů a programů celoživotního vzdělávání, počet studentů, dosažené výsledky ve vzdělávací a tvůrčí činnosti a případně také závazky přijaté veřejnou vysokou školou v rámci programu schváleného vládou. Výše příspěvku vychází rovněž ze strategického záměru vzdělávací a tvůrčí činnosti pro oblast vysokých škol a každoročního plánu jeho realizace zpracovávaných Ministerstvem školství, mládeže a tělovýchovy a ze strategického záměru veřejné vysoké školy a každoročního plánu jeho realizace. Příspěvek je poskytován na základě žádosti a rozhodnutí ministerstva; veřejné vysoké škole současně přísluší záloha na příspěvek stanovená podle rozhodných údajů k 31. říjnu předchozího kalendářního roku.</w:t>
      </w:r>
    </w:p>
    <w:p>
      <w:pPr>
        <w:pStyle w:val="Normal"/>
        <w:spacing w:lineRule="auto" w:line="278" w:before="0" w:after="160"/>
        <w:jc w:val="both"/>
        <w:rPr/>
      </w:pPr>
      <w:r>
        <w:rPr/>
        <w:t>Veřejná vysoká škola má dále podle § 18 odst. 5 zákona o vysokých školách nárok na dotaci na rozvoj vysoké školy a mohou jí být poskytovány i další dotace, zejména na ubytování a stravování studentů.</w:t>
      </w:r>
    </w:p>
    <w:p>
      <w:pPr>
        <w:pStyle w:val="Normal"/>
        <w:spacing w:lineRule="auto" w:line="278" w:before="0" w:after="160"/>
        <w:jc w:val="both"/>
        <w:rPr/>
      </w:pPr>
      <w:r>
        <w:rPr/>
        <w:t>Konkrétní pravidla a kritéria financování stanoví každoročně Ministerstvo školství, mládeže a tělovýchovy. Institucionální financování je zpravidla členěno na jednotlivé ukazatele zohledňující zejména stabilitu financování, výkonnost, společenskou poptávku a realizaci vládních priorit.</w:t>
      </w:r>
    </w:p>
    <w:p>
      <w:pPr>
        <w:pStyle w:val="Normal"/>
        <w:spacing w:lineRule="auto" w:line="278" w:before="0" w:after="160"/>
        <w:jc w:val="both"/>
        <w:rPr/>
      </w:pPr>
      <w:r>
        <w:rPr/>
        <w:t>Příjmy veřejné vysoké školy mohou tvořit rovněž prostředky poskytované ze státních fondů, z prostředků od jiných rezortů, a z rozpočtů krajů a obcí, poskytované v souladu s právní úpravou rozpočtových pravidel územních rozpočtů.</w:t>
      </w:r>
    </w:p>
    <w:p>
      <w:pPr>
        <w:pStyle w:val="Normal"/>
        <w:spacing w:lineRule="auto" w:line="278" w:before="0" w:after="160"/>
        <w:jc w:val="both"/>
        <w:rPr/>
      </w:pPr>
      <w:r>
        <w:rPr/>
        <w:t>Veřejné vysoké školy jsou významnými příjemci veřejné podpory výzkumu, vývoje a inovací poskytované podle zvláštních právních předpisů upravujících podporu výzkumu, vývoje, inovací a transferu znalostí.</w:t>
      </w:r>
    </w:p>
    <w:p>
      <w:pPr>
        <w:pStyle w:val="Normal"/>
        <w:spacing w:lineRule="auto" w:line="278" w:before="0" w:after="160"/>
        <w:jc w:val="both"/>
        <w:rPr/>
      </w:pPr>
      <w:r>
        <w:rPr/>
        <w:t>Dalšími příjmy veřejné vysoké školy jsou zejména výnosy z majetku, příjmy z doplňkové činnosti, dary a dědictví (§ 18 zákona o vysokých školách).</w:t>
      </w:r>
    </w:p>
    <w:p>
      <w:pPr>
        <w:pStyle w:val="Normal"/>
        <w:spacing w:lineRule="auto" w:line="278" w:before="0" w:after="160"/>
        <w:jc w:val="both"/>
        <w:rPr/>
      </w:pPr>
      <w:r>
        <w:rPr/>
        <w:t>Ustanovení § 18 odst. 4 zákona o vysokých školách upravuje ve vazbě na zákon o rozpočtových pravidlech programové financování, zejména financování stavebních a investičních záměrů.</w:t>
      </w:r>
    </w:p>
    <w:p>
      <w:pPr>
        <w:pStyle w:val="Normal"/>
        <w:spacing w:lineRule="auto" w:line="278" w:before="0" w:after="160"/>
        <w:jc w:val="both"/>
        <w:rPr/>
      </w:pPr>
      <w:r>
        <w:rPr/>
        <w:t xml:space="preserve">Financování soukromých vysokých škol upravuje § 40 zákona o vysokých školách. Ministerstvo může soukromé vysoké škole poskytnout dotaci na stipendia, a to na sociální stipendia </w:t>
      </w:r>
      <w:r>
        <w:rPr>
          <w:rFonts w:cs="Arial"/>
        </w:rPr>
        <w:t xml:space="preserve">(do 31. srpna 2027) </w:t>
      </w:r>
      <w:r>
        <w:rPr/>
        <w:t>a stipendia poskytovaná v případech hodných zvláštního zřetele. Při stanovení výše dotace se zohledňují zejména strategické dokumenty soukromé vysoké školy a ministerstva, typ a finanční náročnost akreditovaných studijních programů, počet studentů a výsledky ve vzdělávací a tvůrčí činnosti. Také soukromé vysoké školy mohou být příjemci veřejné podpory výzkumu, vývoje a inovací podle zvláštních právních předpisů.</w:t>
      </w:r>
    </w:p>
    <w:p>
      <w:pPr>
        <w:pStyle w:val="Normal"/>
        <w:spacing w:lineRule="auto" w:line="278" w:before="0" w:after="160"/>
        <w:jc w:val="both"/>
        <w:rPr/>
      </w:pPr>
      <w:r>
        <w:rPr/>
        <w:t>Financování státních vysokých škol upravuje § 95 odst. 1 a 10 zákona o vysokých školách.</w:t>
      </w:r>
    </w:p>
    <w:p>
      <w:pPr>
        <w:pStyle w:val="Normal"/>
        <w:spacing w:lineRule="auto" w:line="278" w:before="0" w:after="160"/>
        <w:jc w:val="both"/>
        <w:rPr>
          <w:b/>
          <w:bCs/>
        </w:rPr>
      </w:pPr>
      <w:r>
        <w:rPr>
          <w:b/>
          <w:bCs/>
        </w:rPr>
        <w:t>2.2.2 Hospodaření vysokých škol</w:t>
      </w:r>
    </w:p>
    <w:p>
      <w:pPr>
        <w:pStyle w:val="Normal"/>
        <w:spacing w:lineRule="auto" w:line="278" w:before="0" w:after="160"/>
        <w:jc w:val="both"/>
        <w:rPr/>
      </w:pPr>
      <w:r>
        <w:rPr/>
        <w:t>Hospodaření veřejných vysokých škol upravují zejména § 18, 19 a 20 zákona o vysokých školách.</w:t>
      </w:r>
    </w:p>
    <w:p>
      <w:pPr>
        <w:pStyle w:val="Normal"/>
        <w:spacing w:lineRule="auto" w:line="278" w:before="0" w:after="160"/>
        <w:jc w:val="both"/>
        <w:rPr/>
      </w:pPr>
      <w:r>
        <w:rPr/>
        <w:t>Veřejná vysoká škola hospodaří podle vlastního rozpočtu, který nesmí být sestaven jako deficitní. Rozpočet se sestavuje na kalendářní rok a společně s ním i střednědobý výhled rozpočtu nejméně na dva následující roky (§ 18 odst. 1 zákona o vysokých školách).</w:t>
      </w:r>
    </w:p>
    <w:p>
      <w:pPr>
        <w:pStyle w:val="Normal"/>
        <w:spacing w:lineRule="auto" w:line="278" w:before="0" w:after="160"/>
        <w:jc w:val="both"/>
        <w:rPr/>
      </w:pPr>
      <w:r>
        <w:rPr/>
        <w:t>Podle § 20 zákona o vysokých školách je veřejná vysoká škola povinna využívat svůj majetek k plnění úkolů ve vzdělávací a tvůrčí činnosti. V rámci doplňkové činnosti může za úplatu vykonávat činnosti navazující na její vzdělávací a tvůrčí činnost nebo směřující k efektivnějšímu využití lidských zdrojů a majetku. Doplňková činnost nesmí ohrozit kvalitu, rozsah ani dostupnost hlavních činností školy.</w:t>
      </w:r>
    </w:p>
    <w:p>
      <w:pPr>
        <w:pStyle w:val="Normal"/>
        <w:spacing w:lineRule="auto" w:line="278" w:before="0" w:after="160"/>
        <w:jc w:val="both"/>
        <w:rPr/>
      </w:pPr>
      <w:r>
        <w:rPr/>
        <w:t>K některým majetkovým dispozicím je nezbytný předchozí souhlas správní rady veřejné vysoké školy [§ 15 odst. 1 písm. a) až d) zákona o vysokých školách]. Zákon současně omezuje veřejnou vysokou školu při nabývání cenných papírů a dalších formách majetkové účasti.</w:t>
      </w:r>
    </w:p>
    <w:p>
      <w:pPr>
        <w:pStyle w:val="Normal"/>
        <w:spacing w:lineRule="auto" w:line="278" w:before="0" w:after="160"/>
        <w:jc w:val="both"/>
        <w:rPr/>
      </w:pPr>
      <w:r>
        <w:rPr/>
        <w:t>Podle § 20 zákona o vysokých školách není veřejná vysoká škola oprávněna:</w:t>
      </w:r>
    </w:p>
    <w:p>
      <w:pPr>
        <w:pStyle w:val="Normal"/>
        <w:numPr>
          <w:ilvl w:val="0"/>
          <w:numId w:val="26"/>
        </w:numPr>
        <w:spacing w:lineRule="auto" w:line="278" w:before="0" w:after="160"/>
        <w:jc w:val="both"/>
        <w:rPr/>
      </w:pPr>
      <w:r>
        <w:rPr/>
        <w:t>převzít ručení za peněžitý dluh jiné osoby ani zřídit zástavní právo k nemovitosti,</w:t>
      </w:r>
    </w:p>
    <w:p>
      <w:pPr>
        <w:pStyle w:val="Normal"/>
        <w:numPr>
          <w:ilvl w:val="0"/>
          <w:numId w:val="26"/>
        </w:numPr>
        <w:spacing w:lineRule="auto" w:line="278" w:before="0" w:after="160"/>
        <w:jc w:val="both"/>
        <w:rPr/>
      </w:pPr>
      <w:r>
        <w:rPr/>
        <w:t>stát se společníkem veřejné obchodní společnosti nebo komplementářem komanditní společnosti,</w:t>
      </w:r>
    </w:p>
    <w:p>
      <w:pPr>
        <w:pStyle w:val="Normal"/>
        <w:numPr>
          <w:ilvl w:val="0"/>
          <w:numId w:val="26"/>
        </w:numPr>
        <w:spacing w:lineRule="auto" w:line="278" w:before="0" w:after="160"/>
        <w:jc w:val="both"/>
        <w:rPr/>
      </w:pPr>
      <w:r>
        <w:rPr/>
        <w:t>vkládat do obchodní společnosti nebo družstva nemovité věci nabyté z vlastnictví státu, příspěvek poskytnutý ze státního rozpočtu na vzdělávací a tvůrčí činnost ani poskytnuté dotace.</w:t>
      </w:r>
    </w:p>
    <w:p>
      <w:pPr>
        <w:pStyle w:val="Normal"/>
        <w:spacing w:lineRule="auto" w:line="278" w:before="0" w:after="160"/>
        <w:jc w:val="both"/>
        <w:rPr/>
      </w:pPr>
      <w:r>
        <w:rPr/>
        <w:t>Zákon o vysokých školách dále stanoví soustavu povinně vytvářených fondů veřejné vysoké školy, jejich účel a pravidla jejich tvorby (§ 18 odst. 6 a násl. zákona o vysokých školách). Podrobnější úpravu stanoví vnitřní předpisy jednotlivých veřejných vysokých škol. Veřejná vysoká škola zřizuje povinně rezervní fond, fond reprodukce investičního majetku, stipendijní fond, fond odměn, fond účelově určených prostředků, fond sociální a fond provozních prostředků.</w:t>
      </w:r>
    </w:p>
    <w:p>
      <w:pPr>
        <w:pStyle w:val="Normal"/>
        <w:spacing w:lineRule="auto" w:line="278" w:before="0" w:after="160"/>
        <w:jc w:val="both"/>
        <w:rPr/>
      </w:pPr>
      <w:r>
        <w:rPr/>
        <w:t>Podle § 21 odst. 1 písm. a), odst. 3 a 4 zákona o vysokých školách zpracovává veřejná vysoká škola výroční zprávu o hospodaření, kterou předkládá Ministerstvu školství, mládeže a tělovýchovy a zveřejňuje. Obdobná povinnost může dopadat také na soukromé vysoké školy podle § 42 odst. 1 písm. a), odst. 3 a 4 zákona o vysokých školách.</w:t>
      </w:r>
    </w:p>
    <w:p>
      <w:pPr>
        <w:pStyle w:val="Normal"/>
        <w:spacing w:lineRule="auto" w:line="278" w:before="0" w:after="160"/>
        <w:jc w:val="both"/>
        <w:rPr/>
      </w:pPr>
      <w:r>
        <w:rPr/>
        <w:t> </w:t>
      </w:r>
    </w:p>
    <w:p>
      <w:pPr>
        <w:pStyle w:val="Normal"/>
        <w:shd w:val="clear" w:color="auto" w:fill="C6D9F1" w:themeFill="text2" w:themeFillTint="33"/>
        <w:spacing w:lineRule="auto" w:line="278" w:before="0" w:after="160"/>
        <w:jc w:val="both"/>
        <w:rPr>
          <w:b/>
          <w:bCs/>
        </w:rPr>
      </w:pPr>
      <w:r>
        <w:rPr>
          <w:b/>
          <w:bCs/>
        </w:rPr>
        <w:t>2.3 Flexibilní a dostupné studium</w:t>
      </w:r>
    </w:p>
    <w:p>
      <w:pPr>
        <w:pStyle w:val="Normal"/>
        <w:spacing w:lineRule="auto" w:line="278" w:before="0" w:after="160"/>
        <w:jc w:val="both"/>
        <w:rPr/>
      </w:pPr>
      <w:r>
        <w:rPr/>
        <w:t>Právní úprava vysokoškolského studia vychází z toho, že vysokoškolské vzdělání se získává studiem v akreditovaném studijním programu (§ 44 zákona o vysokých školách). Uchazeč není přijímán obecně na vysokou školu, ale ke studiu konkrétního studijního programu; k němu se následně váže vznik statusu studenta, průběh studia i jeho řádné ukončení. Studium je proto v platné právní úpravě koncipováno primárně prostřednictvím studijních programů.</w:t>
      </w:r>
    </w:p>
    <w:p>
      <w:pPr>
        <w:pStyle w:val="Normal"/>
        <w:spacing w:lineRule="auto" w:line="278" w:before="0" w:after="160"/>
        <w:jc w:val="both"/>
        <w:rPr/>
      </w:pPr>
      <w:r>
        <w:rPr/>
        <w:t>Studijní program představuje základní jednotku vysokoškolského vzdělávání (§ 44 zákona o vysokých školách). Zákon vyžaduje vymezení jeho podstatných náležitostí, zejména typu studijního programu, profilu absolventa, cílů studia, standardní doby studia, formy studia a oblasti nebo oblastí vzdělávání (§ 44 odst. 2 zákona o vysokých školách). Studijní program může být uskutečňován na základě akreditace studijního programu nebo na základě institucionální akreditace (§ 78 až 81d zákona o vysokých školách). Podrobnosti akreditačního systému stanoví nařízení vlády č. 274/2016 Sb., o standardech pro akreditace ve vysokém školství, a systém oblastí vzdělávání podle nařízení vlády č. 275/2016 Sb., o oblastech vzdělávání ve vysokém školství.</w:t>
      </w:r>
    </w:p>
    <w:p>
      <w:pPr>
        <w:pStyle w:val="Normal"/>
        <w:spacing w:lineRule="auto" w:line="278" w:before="0" w:after="160"/>
        <w:jc w:val="both"/>
        <w:rPr/>
      </w:pPr>
      <w:r>
        <w:rPr/>
        <w:t>Zákon rozlišuje bakalářské, magisterské a doktorské studijní programy (§ 45 až 47 zákona o vysokých školách). Bakalářský studijní program je zaměřen na přípravu k výkonu povolání a případně ke studiu v navazujícím magisterském studijním programu (§ 45 zákona o vysokých školách). Magisterský studijní program navazuje na bakalářské vzdělání nebo je uskutečňován jako nenavazující a směřuje k získání a prohloubení odborné kvalifikace (§ 46 zákona o vysokých školách). Doktorský studijní program je zaměřen na samostatnou tvůrčí činnost v oblasti výzkumu, vývoje nebo umění (§ 47 zákona o vysokých školách). Standardní doba studia činí tři až čtyři roky u bakalářských studijních programů, jeden až tři roky u navazujících magisterských studijních programů, čtyři až šest let u nenavazujících magisterských studijních programů a tři až čtyři roky u doktorských studijních programů (§ 45 až 47 zákona o vysokých školách).</w:t>
      </w:r>
    </w:p>
    <w:p>
      <w:pPr>
        <w:pStyle w:val="Normal"/>
        <w:spacing w:lineRule="auto" w:line="278" w:before="0" w:after="160"/>
        <w:jc w:val="both"/>
        <w:rPr/>
      </w:pPr>
      <w:r>
        <w:rPr/>
        <w:t>Vstup do studia probíhá prostřednictvím přijímacího řízení (§ 48 a násl. zákona o vysokých školách). Zákon stanoví základní podmínky přijetí podle typu studijního programu. Podmínkou přijetí ke studiu v bakalářském studijním programu a v magisterském studijním programu, který nenavazuje na bakalářský studijní program, je dosažení středního vzdělání s maturitní zkouškou (§ 48 odst. 1 zákona o vysokých školách). Podmínkou přijetí do navazujícího magisterského studijního programu je řádné ukončení studia v kterémkoliv typu studijního programu (§ 48 odst. 1 zákona o vysokých školách). Podmínkou přijetí do doktorského studijního programu je řádné ukončení studia v magisterském studijním programu (§ 48 odst. 3 zákona o vysokých školách). Vysoká škola nebo fakulta může stanovit i další podmínky přijetí (§ 49 zákona o vysokých školách), které musí zveřejnit způsobem stanoveným zákonem (§ 49 odst. 5 zákona o vysokých školách).</w:t>
      </w:r>
    </w:p>
    <w:p>
      <w:pPr>
        <w:pStyle w:val="Normal"/>
        <w:spacing w:lineRule="auto" w:line="278" w:before="0" w:after="160"/>
        <w:jc w:val="both"/>
        <w:rPr/>
      </w:pPr>
      <w:r>
        <w:rPr/>
        <w:t>O přijetí ke studiu rozhoduje rektor nebo děkan (§ 50 zákona o vysokých školách). Oznámením rozhodnutí o přijetí vzniká uchazeči právo na zápis do studia; studentem se osoba stává až dnem zápisu do studia (§ 51 odst. 1 a § 61 odst. 1 zákona o vysokých školách).</w:t>
      </w:r>
    </w:p>
    <w:p>
      <w:pPr>
        <w:pStyle w:val="Normal"/>
        <w:spacing w:lineRule="auto" w:line="278" w:before="0" w:after="160"/>
        <w:jc w:val="both"/>
        <w:rPr/>
      </w:pPr>
      <w:r>
        <w:rPr/>
        <w:t>Průběh studia je upraven zákonem o vysokých školách, akreditovaným obsahem studijního programu a vnitřními předpisy vysoké školy, zejména studijním a zkušebním řádem (§ 17 odst. 1 písm. g) zákona o vysokých školách). Vnitřní předpisy upravují zejména organizaci studia, kontrolu studia, podmínky konání zkoušek a další pravidla související s plněním studijních povinností.</w:t>
      </w:r>
    </w:p>
    <w:p>
      <w:pPr>
        <w:pStyle w:val="Normal"/>
        <w:spacing w:lineRule="auto" w:line="278" w:before="0" w:after="160"/>
        <w:jc w:val="both"/>
        <w:rPr/>
      </w:pPr>
      <w:r>
        <w:rPr/>
        <w:t xml:space="preserve">Studentům náležejí práva a povinnosti vymezené v § 62 a 63 zákona o vysokých školách. Student má zejména právo studovat ve studijním programu, využívat zařízení a informační technologie vysoké školy, volit a být volen do akademických orgánů vysoké školy, pokud splňuje zákonné podmínky, a využívat stipendia a další formy podpory stanovené zákonem. Současně je povinen plnit studijní povinnosti vyplývající ze studijního programu </w:t>
      </w:r>
      <w:r>
        <w:rPr>
          <w:rFonts w:cs="Arial"/>
        </w:rPr>
        <w:t xml:space="preserve">a studijního a zkušebního řádu </w:t>
      </w:r>
      <w:r>
        <w:rPr/>
        <w:t>a dodržovat vnitřní předpisy vysoké školy.</w:t>
      </w:r>
    </w:p>
    <w:p>
      <w:pPr>
        <w:pStyle w:val="Normal"/>
        <w:spacing w:lineRule="auto" w:line="278" w:before="0" w:after="160"/>
        <w:jc w:val="both"/>
        <w:rPr/>
      </w:pPr>
      <w:r>
        <w:rPr/>
        <w:t>Právní úprava umožňuje změny v průběhu studia, zejména přerušení studia (§ 54 zákona o vysokých školách) a přestup mezi studijními programy (§ 54b zákona o vysokých školách). Po dobu přerušení studia osoba pozbývá postavení studenta (§ 54 odst. 4 zákona o vysokých školách). Uznávání předchozího vzdělání a studijních povinností je upraveno v § 54b odst. 3 u přestupu a § 68 odst. 1 písm. d) zákona o vysokých školách a podrobněji vnitřními předpisy vysoké školy.</w:t>
      </w:r>
    </w:p>
    <w:p>
      <w:pPr>
        <w:pStyle w:val="Normal"/>
        <w:spacing w:lineRule="auto" w:line="278" w:before="0" w:after="160"/>
        <w:jc w:val="both"/>
        <w:rPr/>
      </w:pPr>
      <w:r>
        <w:rPr/>
        <w:t>Studium se řádně ukončuje absolvováním studia v příslušném studijním programu (§ 55 zákona o vysokých školách)</w:t>
      </w:r>
      <w:r>
        <w:rPr>
          <w:rFonts w:cs="Arial"/>
        </w:rPr>
        <w:t>, a to dnem vykonání státní závěrečné (nebo státní rigorózní, v lékařských oblastech) zkoušky předepsané na závěr studia nebo její poslední části</w:t>
      </w:r>
      <w:r>
        <w:rPr/>
        <w:t xml:space="preserve"> (§ 45 až 47 a § 53 zákona o vysokých školách). Absolventům se vydává vysokoškolský diplom a dodatek k diplomu (§ 57 zákona o vysokých školách).</w:t>
      </w:r>
    </w:p>
    <w:p>
      <w:pPr>
        <w:pStyle w:val="Normal"/>
        <w:spacing w:lineRule="auto" w:line="278" w:before="0" w:after="160"/>
        <w:jc w:val="both"/>
        <w:rPr/>
      </w:pPr>
      <w:r>
        <w:rPr/>
        <w:t xml:space="preserve">Vedle řádného ukončení studia zákon upravuje i další způsoby jeho ukončení (§ 56 zákona o vysokých školách), zejména zanecháním studia, nesplněním požadavků vyplývajících ze studijního programu podle studijního a zkušebního řádu, přestupem do jiného studijního programu, zánikem akreditace studijního programu, příp. vyloučením ze studia. </w:t>
      </w:r>
    </w:p>
    <w:p>
      <w:pPr>
        <w:pStyle w:val="Normal"/>
        <w:spacing w:lineRule="auto" w:line="278" w:before="0" w:after="160"/>
        <w:jc w:val="both"/>
        <w:rPr/>
      </w:pPr>
      <w:r>
        <w:rPr/>
        <w:t>Mimo rámec vysokoškolského studia upravuje zákon také celoživotní vzdělávání (§ 60 zákona o vysokých školách). Vysoká škola může programy celoživotního vzdělávání uskutečňovat bezplatně nebo za úplatu a vydává o jejich absolvování osvědčení. Účastník celoživotního vzdělávání není studentem ve smyslu zákona o vysokých školách (§ 60 odst. 3 zákona o vysokých školách). Splněné studijní povinnosti však mohou být uznány, stane-li se následně studentem akreditovaného studijního programu (§ 60 odst. 2 zákona o vysokých školách).</w:t>
      </w:r>
    </w:p>
    <w:p>
      <w:pPr>
        <w:pStyle w:val="Normal"/>
        <w:jc w:val="both"/>
        <w:rPr/>
      </w:pPr>
      <w:r>
        <w:rPr/>
      </w:r>
    </w:p>
    <w:p>
      <w:pPr>
        <w:pStyle w:val="Normal"/>
        <w:shd w:val="clear" w:color="auto" w:fill="C6D9F1" w:themeFill="text2" w:themeFillTint="33"/>
        <w:spacing w:lineRule="auto" w:line="278" w:before="0" w:after="160"/>
        <w:jc w:val="both"/>
        <w:rPr>
          <w:b/>
          <w:bCs/>
        </w:rPr>
      </w:pPr>
      <w:r>
        <w:rPr>
          <w:b/>
          <w:bCs/>
        </w:rPr>
        <w:t>2.4 Akademické kariéry</w:t>
      </w:r>
    </w:p>
    <w:p>
      <w:pPr>
        <w:pStyle w:val="Normal"/>
        <w:spacing w:lineRule="auto" w:line="278" w:before="0" w:after="160"/>
        <w:jc w:val="both"/>
        <w:rPr/>
      </w:pPr>
      <w:r>
        <w:rPr/>
        <w:t>Oblast akademických kariér není v platné právní úpravě upravena jako ucelený kariérní systém. Její jednotlivé prvky jsou zakotveny zejména ve vymezení akademických pracovníků, pravidlech pro obsazování jejich pracovních míst, pracovněprávním rámci jejich působení, habilitačním řízení, řízení ke jmenování profesorem a v podmínkách akreditace těchto řízení. Základní význam má rovněž skutečnost, že habilitační řízení a řízení ke jmenování profesorem mohou uskutečňovat pouze vysoké školy, které pro ně získaly příslušné oprávnění podle zákona o vysokých školách (§ 72 až 75 zákona o vysokých školách). Faktická akademická dráha zpravidla navazuje na doktorské studium a pokračuje prostřednictvím akademických nebo výzkumných pracovních pozic k habilitaci a případně ke jmenování profesorem.</w:t>
      </w:r>
    </w:p>
    <w:p>
      <w:pPr>
        <w:pStyle w:val="Normal"/>
        <w:spacing w:lineRule="auto" w:line="278" w:before="0" w:after="160"/>
        <w:jc w:val="both"/>
        <w:rPr/>
      </w:pPr>
      <w:r>
        <w:rPr/>
        <w:t xml:space="preserve">Akademickými pracovníky </w:t>
      </w:r>
      <w:r>
        <w:rPr>
          <w:rFonts w:cs="Arial"/>
        </w:rPr>
        <w:t xml:space="preserve">jsou ti profesoři, docenti, mimořádní profesoři, odborní asistenti, asistenti, lektoři a vědečtí, výzkumní a vývojoví pracovníci, kteří </w:t>
      </w:r>
      <w:r>
        <w:rPr/>
        <w:t xml:space="preserve">jsou zaměstnanci </w:t>
      </w:r>
      <w:r>
        <w:rPr>
          <w:rFonts w:cs="Arial"/>
        </w:rPr>
        <w:t xml:space="preserve">veřejné nebo soukromé </w:t>
      </w:r>
      <w:r>
        <w:rPr/>
        <w:t xml:space="preserve">vysoké školy </w:t>
      </w:r>
      <w:r>
        <w:rPr>
          <w:rFonts w:cs="Arial"/>
        </w:rPr>
        <w:t xml:space="preserve">(nebo zaměstnanci České republiky zařazenými k výkonu práce na státní vysoké škole) a v pracovním poměru </w:t>
      </w:r>
      <w:r>
        <w:rPr/>
        <w:t xml:space="preserve">vykonávají jak pedagogickou, tak tvůrčí činnost (§ 70 odst. 1 zákona o vysokých školách). </w:t>
      </w:r>
      <w:r>
        <w:rPr>
          <w:rFonts w:cs="Arial"/>
        </w:rPr>
        <w:t>Místa akademických pracovníků vojenské vysoké školy mohou být obsazována vojáky v činné službě a místa akademických pracovníků policejní vysoké školy příslušníky Policie České republiky.</w:t>
      </w:r>
      <w:r>
        <w:rPr/>
        <w:t xml:space="preserve">  Postavení akademického pracovníka je tak spojeno především s výkonem práce pro vysokou školu v pracovním nebo služebním poměru a s výkonem pedagogické a tvůrčí činnosti.</w:t>
      </w:r>
    </w:p>
    <w:p>
      <w:pPr>
        <w:pStyle w:val="Normal"/>
        <w:spacing w:lineRule="auto" w:line="278" w:before="0" w:after="160"/>
        <w:jc w:val="both"/>
        <w:rPr/>
      </w:pPr>
      <w:r>
        <w:rPr/>
        <w:t xml:space="preserve">Obsazování pracovních míst akademických pracovníků na veřejných vysokých školách </w:t>
      </w:r>
      <w:r>
        <w:rPr>
          <w:rFonts w:cs="Arial"/>
        </w:rPr>
        <w:t xml:space="preserve">(a míst akademických pracovníků - „civilních zaměstnanců“ na státních vysokých školách) </w:t>
      </w:r>
      <w:r>
        <w:rPr/>
        <w:t xml:space="preserve">se zpravidla uskutečňuje na základě výběrového řízení (§ 77 </w:t>
      </w:r>
      <w:r>
        <w:rPr>
          <w:rFonts w:cs="Arial"/>
        </w:rPr>
        <w:t xml:space="preserve">a § 95 odst. 12 </w:t>
      </w:r>
      <w:r>
        <w:rPr/>
        <w:t>zákona o vysokých školách). Podrobnosti stanoví vnitřní předpis vysoké školy. Zákon tím vysokým školám ponechává značnou autonomii při utváření personální politiky, současně však vyžaduje transparentní a předem stanovený postup. Pracovněprávní vztahy akademických pracovníků se řídí obecnými pracovněprávními předpisy, zejména zákoníkem práce, nestanoví-li zákon o vysokých školách jinak.</w:t>
      </w:r>
    </w:p>
    <w:p>
      <w:pPr>
        <w:pStyle w:val="Normal"/>
        <w:spacing w:lineRule="auto" w:line="278" w:before="0" w:after="160"/>
        <w:jc w:val="both"/>
        <w:rPr/>
      </w:pPr>
      <w:r>
        <w:rPr/>
        <w:t>Významnou součást akademické kariéry představuje habilitační řízení (§ 72 zákona o vysokých školách). Jeho účelem je ověřit vědeckou nebo uměleckou kvalifikaci uchazeče, jeho dosavadní výsledky tvůrčí činnosti a pedagogickou způsobilost. Habilitační řízení zahrnuje zejména posouzení habilitační práce, její obhajobu a habilitační přednášku (§ 72 odst. 8 až 10 zákona o vysokých školách). Úspěšným zakončením habilitačního řízení</w:t>
      </w:r>
      <w:r>
        <w:rPr>
          <w:rFonts w:cs="Arial"/>
        </w:rPr>
        <w:t xml:space="preserve"> je jmenování uchazeče docentem, spojené fakticky s „doživotním“ oprávněním</w:t>
      </w:r>
      <w:r>
        <w:rPr/>
        <w:t xml:space="preserve"> užívat vědecko-pedagogický </w:t>
      </w:r>
      <w:r>
        <w:rPr>
          <w:rFonts w:cs="Arial"/>
        </w:rPr>
        <w:t xml:space="preserve">nebo umělecko-pedagogický </w:t>
      </w:r>
      <w:r>
        <w:rPr/>
        <w:t>titul “docent” (§ 72 odst. 11 zákona o vysokých školách).</w:t>
      </w:r>
    </w:p>
    <w:p>
      <w:pPr>
        <w:pStyle w:val="Normal"/>
        <w:spacing w:lineRule="auto" w:line="278" w:before="0" w:after="160"/>
        <w:jc w:val="both"/>
        <w:rPr/>
      </w:pPr>
      <w:r>
        <w:rPr/>
        <w:t xml:space="preserve">Na habilitační řízení navazuje řízení ke jmenování profesorem (§ 74 zákona o vysokých školách). Jeho účelem je posoudit, zda uchazeč představuje význačnou a uznávanou osobnost v daném oboru a zda dosáhl významných výsledků ve vzdělávací, vědecké, výzkumné, umělecké nebo jiné tvůrčí činnosti. Řízení </w:t>
      </w:r>
      <w:r>
        <w:rPr>
          <w:rFonts w:cs="Arial"/>
        </w:rPr>
        <w:t>je vedeno mj. před příslušnou vědeckou nebo uměleckou radou vysoké školy (popř. nejprve fakulty)</w:t>
      </w:r>
      <w:r>
        <w:rPr/>
        <w:t xml:space="preserve"> a jeho výsledkem může být návrh na jmenování </w:t>
      </w:r>
      <w:r>
        <w:rPr>
          <w:rFonts w:cs="Arial"/>
        </w:rPr>
        <w:t>uchazeče</w:t>
      </w:r>
      <w:r>
        <w:rPr/>
        <w:t xml:space="preserve"> profesorem (§ 74 zákona o vysokých školách). Profesora jmenuje prezident republiky (§ 73 odst. 1 zákona o vysokých školách). Zákon tak odlišuje pracovní zařazení akademického pracovníka od titulů (“akademických kvalifikačních stupňů”) docenta a profesora.</w:t>
      </w:r>
    </w:p>
    <w:p>
      <w:pPr>
        <w:pStyle w:val="Normal"/>
        <w:spacing w:lineRule="auto" w:line="278" w:before="0" w:after="160"/>
        <w:jc w:val="both"/>
        <w:rPr/>
      </w:pPr>
      <w:r>
        <w:rPr/>
        <w:t>Oprávnění uskutečňovat habilitační řízení a řízení ke jmenování profesorem podléhá akreditaci (§ 82 zákona o vysokých školách). Podrobnosti stanoví nařízení vlády č. 274/2016 Sb., o standardech pro akreditace ve vysokém školství, které upravuje také standardy pro akreditaci habilitačního řízení a řízení ke jmenování profesorem. Akreditační požadavky mají zajistit, aby tato řízení probíhala pouze na vysokých školách disponujících odpovídajícím personálním, vědeckým, výzkumným, uměleckým nebo jiným tvůrčím zázemím.</w:t>
      </w:r>
    </w:p>
    <w:p>
      <w:pPr>
        <w:pStyle w:val="Normal"/>
        <w:spacing w:lineRule="auto" w:line="278" w:before="0" w:after="160"/>
        <w:jc w:val="both"/>
        <w:rPr/>
      </w:pPr>
      <w:r>
        <w:rPr/>
        <w:t>Významnou roli v akademických kariérách plní akademické samosprávné orgány, zejména vědecké nebo umělecké rady veřejných vysokých škol a fakult (§ 11, 12, 29 a 30 zákona o vysokých školách). Ty vykonávají působnost v habilitačních řízeních a řízeních ke jmenování profesorem, podílejí se na akreditačních procesech a projednávají další otázky související s kvalitou vzdělávací a tvůrčí činnosti. Akademická kariéra je proto úzce propojena s akademickou samosprávou a systémem zajišťování kvality vysokého školství.</w:t>
      </w:r>
    </w:p>
    <w:p>
      <w:pPr>
        <w:pStyle w:val="Normal"/>
        <w:spacing w:lineRule="auto" w:line="278" w:before="0" w:after="160"/>
        <w:jc w:val="both"/>
        <w:rPr/>
      </w:pPr>
      <w:r>
        <w:rPr/>
        <w:t>Doktorské studium představuje přirozený předstupeň akademické kariéry, není však její pracovněprávní součástí. Student doktorského studijního programu je studentem ve smyslu § 47 zákona o vysokých školách a postavení studenta nabývá zápisem podle § 61 zákona o vysokých školách. Nestává se však automaticky akademickým pracovníkem. Tím se může stát pouze na základě pracovního poměru s vysokou školou podle § 70 zákona o vysokých školách. Právní úprava tak důsledně odděluje status studenta doktorského studijního programu od statusu zaměstnance vysoké školy, přestože se tyto role mohou v praxi překrývat.</w:t>
      </w:r>
    </w:p>
    <w:p>
      <w:pPr>
        <w:pStyle w:val="Normal"/>
        <w:spacing w:lineRule="auto" w:line="278" w:before="0" w:after="160"/>
        <w:jc w:val="both"/>
        <w:rPr/>
      </w:pPr>
      <w:r>
        <w:rPr/>
        <w:t>Platná právní úprava tedy stanoví základní právní rámec postavení akademických pracovníků, pravidel pro obsazování jejich pracovních míst a podmínek pro získání nejvyšších akademických kvalifikací docenta a profesora. Konkrétní pravidla kariérního postupu, hodnocení výkonu, personálního rozvoje a pracovního zařazení jsou však ve značné míře ponechána autonomii vysokých škol a jejich vnitřním předpisům.</w:t>
      </w:r>
    </w:p>
    <w:p>
      <w:pPr>
        <w:pStyle w:val="Normal"/>
        <w:jc w:val="both"/>
        <w:rPr/>
      </w:pPr>
      <w:r>
        <w:rPr/>
      </w:r>
    </w:p>
    <w:p>
      <w:pPr>
        <w:pStyle w:val="Normal"/>
        <w:shd w:val="clear" w:color="auto" w:fill="C6D9F1" w:themeFill="text2" w:themeFillTint="33"/>
        <w:spacing w:lineRule="auto" w:line="278" w:before="0" w:after="160"/>
        <w:jc w:val="both"/>
        <w:rPr>
          <w:b/>
          <w:bCs/>
        </w:rPr>
      </w:pPr>
      <w:r>
        <w:rPr>
          <w:b/>
          <w:bCs/>
        </w:rPr>
        <w:t>2.5 Zabezpečování kvality vysokého školství a akreditace</w:t>
      </w:r>
    </w:p>
    <w:p>
      <w:pPr>
        <w:pStyle w:val="Normal"/>
        <w:spacing w:lineRule="auto" w:line="278" w:before="0" w:after="160"/>
        <w:jc w:val="both"/>
        <w:rPr>
          <w:b/>
          <w:bCs/>
        </w:rPr>
      </w:pPr>
      <w:r>
        <w:rPr>
          <w:b/>
          <w:bCs/>
        </w:rPr>
        <w:t>2.5.1 Zajišťování a vnitřní hodnocení kvality vzdělávací, tvůrčí a s nimi souvisejících činností vysoké školy</w:t>
      </w:r>
    </w:p>
    <w:p>
      <w:pPr>
        <w:pStyle w:val="Normal"/>
        <w:spacing w:lineRule="auto" w:line="278" w:before="0" w:after="160"/>
        <w:jc w:val="both"/>
        <w:rPr/>
      </w:pPr>
      <w:r>
        <w:rPr/>
        <w:t>Základním nástrojem zabezpečování kvality vysokoškolského vzdělávání v České republice je systém vnitřního a vnějšího hodnocení kvality vysokých škol. Tento systém je založen na hodnocení kvality vzdělávací činnosti, související tvůrčí činnosti a dalších činností vykonávaných vysokou školou.</w:t>
      </w:r>
    </w:p>
    <w:p>
      <w:pPr>
        <w:pStyle w:val="Normal"/>
        <w:spacing w:lineRule="auto" w:line="278" w:before="0" w:after="160"/>
        <w:jc w:val="both"/>
        <w:rPr/>
      </w:pPr>
      <w:r>
        <w:rPr/>
        <w:t>Vnitřní hodnocení kvality je součástí samosprávné působnosti vysoké školy. Vysoká škola je podle § 77b zákona o vysokých školách povinna zavést a udržovat systém zajišťování a vnitřního hodnocení kvality vzdělávací, tvůrčí a s nimi souvisejících činností.</w:t>
      </w:r>
    </w:p>
    <w:p>
      <w:pPr>
        <w:pStyle w:val="Normal"/>
        <w:spacing w:lineRule="auto" w:line="278" w:before="0" w:after="160"/>
        <w:jc w:val="both"/>
        <w:rPr/>
      </w:pPr>
      <w:r>
        <w:rPr/>
        <w:t>Systém zajišťování kvality podle § 77b zákona o vysokých školách zahrnuje zejména:</w:t>
      </w:r>
    </w:p>
    <w:p>
      <w:pPr>
        <w:pStyle w:val="Normal"/>
        <w:numPr>
          <w:ilvl w:val="0"/>
          <w:numId w:val="31"/>
        </w:numPr>
        <w:spacing w:lineRule="auto" w:line="278" w:before="0" w:after="160"/>
        <w:jc w:val="both"/>
        <w:rPr/>
      </w:pPr>
      <w:r>
        <w:rPr/>
        <w:t>vymezení poslání a strategie vysoké školy,</w:t>
      </w:r>
    </w:p>
    <w:p>
      <w:pPr>
        <w:pStyle w:val="Normal"/>
        <w:numPr>
          <w:ilvl w:val="0"/>
          <w:numId w:val="31"/>
        </w:numPr>
        <w:spacing w:lineRule="auto" w:line="278" w:before="0" w:after="160"/>
        <w:jc w:val="both"/>
        <w:rPr/>
      </w:pPr>
      <w:r>
        <w:rPr/>
        <w:t>vymezení odpovědností vedoucích zaměstnanců a členů orgánů vysoké školy a jejích součástí ve vztahu ke kvalitě vzdělávací, tvůrčí a související činnosti,</w:t>
      </w:r>
    </w:p>
    <w:p>
      <w:pPr>
        <w:pStyle w:val="Normal"/>
        <w:numPr>
          <w:ilvl w:val="0"/>
          <w:numId w:val="31"/>
        </w:numPr>
        <w:spacing w:lineRule="auto" w:line="278" w:before="0" w:after="160"/>
        <w:jc w:val="both"/>
        <w:rPr/>
      </w:pPr>
      <w:r>
        <w:rPr/>
        <w:t>organizaci vysoké školy a rozdělení působnosti, pravomocí a odpovědnosti jejích orgánů,</w:t>
      </w:r>
    </w:p>
    <w:p>
      <w:pPr>
        <w:pStyle w:val="Normal"/>
        <w:numPr>
          <w:ilvl w:val="0"/>
          <w:numId w:val="31"/>
        </w:numPr>
        <w:spacing w:lineRule="auto" w:line="278" w:before="0" w:after="160"/>
        <w:jc w:val="both"/>
        <w:rPr/>
      </w:pPr>
      <w:r>
        <w:rPr/>
        <w:t>personální, finanční a informační zabezpečení vzdělávací a tvůrčí činnosti,</w:t>
      </w:r>
    </w:p>
    <w:p>
      <w:pPr>
        <w:pStyle w:val="Normal"/>
        <w:numPr>
          <w:ilvl w:val="0"/>
          <w:numId w:val="31"/>
        </w:numPr>
        <w:spacing w:lineRule="auto" w:line="278" w:before="0" w:after="160"/>
        <w:jc w:val="both"/>
        <w:rPr/>
      </w:pPr>
      <w:r>
        <w:rPr/>
        <w:t>spolupráci s vysokými školami, výzkumnými organizacemi, zaměstnavateli a dalšími relevantními subjekty,</w:t>
      </w:r>
    </w:p>
    <w:p>
      <w:pPr>
        <w:pStyle w:val="Normal"/>
        <w:numPr>
          <w:ilvl w:val="0"/>
          <w:numId w:val="31"/>
        </w:numPr>
        <w:spacing w:lineRule="auto" w:line="278" w:before="0" w:after="160"/>
        <w:jc w:val="both"/>
        <w:rPr/>
      </w:pPr>
      <w:r>
        <w:rPr/>
        <w:t>standardy a postupy vnitřního hodnocení kvality,</w:t>
      </w:r>
    </w:p>
    <w:p>
      <w:pPr>
        <w:pStyle w:val="Normal"/>
        <w:numPr>
          <w:ilvl w:val="0"/>
          <w:numId w:val="31"/>
        </w:numPr>
        <w:spacing w:lineRule="auto" w:line="278" w:before="0" w:after="160"/>
        <w:jc w:val="both"/>
        <w:rPr/>
      </w:pPr>
      <w:r>
        <w:rPr/>
        <w:t>nápravná, preventivní a rozvojová opatření,</w:t>
      </w:r>
    </w:p>
    <w:p>
      <w:pPr>
        <w:pStyle w:val="Normal"/>
        <w:numPr>
          <w:ilvl w:val="0"/>
          <w:numId w:val="31"/>
        </w:numPr>
        <w:spacing w:lineRule="auto" w:line="278" w:before="0" w:after="160"/>
        <w:jc w:val="both"/>
        <w:rPr/>
      </w:pPr>
      <w:r>
        <w:rPr/>
        <w:t>vedení dokumentace a záznamů souvisejících se zajišťováním kvality.</w:t>
      </w:r>
    </w:p>
    <w:p>
      <w:pPr>
        <w:pStyle w:val="Normal"/>
        <w:spacing w:lineRule="auto" w:line="278" w:before="0" w:after="160"/>
        <w:jc w:val="both"/>
        <w:rPr/>
      </w:pPr>
      <w:r>
        <w:rPr/>
        <w:t>Vnitřní hodnocení kvality podle § 77b zákona o vysokých školách spočívá zejména:</w:t>
      </w:r>
    </w:p>
    <w:p>
      <w:pPr>
        <w:pStyle w:val="Normal"/>
        <w:numPr>
          <w:ilvl w:val="0"/>
          <w:numId w:val="37"/>
        </w:numPr>
        <w:spacing w:lineRule="auto" w:line="278" w:before="0" w:after="160"/>
        <w:jc w:val="both"/>
        <w:rPr/>
      </w:pPr>
      <w:r>
        <w:rPr/>
        <w:t>v aplikaci standardů a postupů vnitřního hodnocení,</w:t>
      </w:r>
    </w:p>
    <w:p>
      <w:pPr>
        <w:pStyle w:val="Normal"/>
        <w:numPr>
          <w:ilvl w:val="0"/>
          <w:numId w:val="37"/>
        </w:numPr>
        <w:spacing w:lineRule="auto" w:line="278" w:before="0" w:after="160"/>
        <w:jc w:val="both"/>
        <w:rPr/>
      </w:pPr>
      <w:r>
        <w:rPr/>
        <w:t>ve zpracování zprávy o vnitřním hodnocení kvality vzdělávací, tvůrčí a s nimi souvisejících činností vysoké školy, která hodnotí dosažené výsledky a přijatá opatření k odstranění zjištěných nedostatků,</w:t>
      </w:r>
    </w:p>
    <w:p>
      <w:pPr>
        <w:pStyle w:val="Normal"/>
        <w:numPr>
          <w:ilvl w:val="0"/>
          <w:numId w:val="37"/>
        </w:numPr>
        <w:spacing w:lineRule="auto" w:line="278" w:before="0" w:after="160"/>
        <w:jc w:val="both"/>
        <w:rPr/>
      </w:pPr>
      <w:r>
        <w:rPr/>
        <w:t xml:space="preserve">ve zpřístupnění této zprávy a jejích dodatků orgánům vysoké školy, Národnímu akreditačnímu úřadu pro </w:t>
      </w:r>
      <w:r>
        <w:rPr>
          <w:rFonts w:cs="Arial"/>
        </w:rPr>
        <w:t>terciární vzdělávání</w:t>
      </w:r>
      <w:r>
        <w:rPr/>
        <w:t xml:space="preserve"> a Ministerstvu školství, mládeže a tělovýchovy.</w:t>
      </w:r>
    </w:p>
    <w:p>
      <w:pPr>
        <w:pStyle w:val="Normal"/>
        <w:spacing w:lineRule="auto" w:line="278" w:before="0" w:after="160"/>
        <w:jc w:val="both"/>
        <w:rPr/>
      </w:pPr>
      <w:r>
        <w:rPr/>
        <w:t>Zpráva o vnitřním hodnocení kvality se zpracovává nejméně jednou za pět let a každoročně se doplňuje dodatkem zachycujícím vývoj kvality a přijatá opatření (§ 77b odst. 3 zákona o vysokých školách).</w:t>
      </w:r>
    </w:p>
    <w:p>
      <w:pPr>
        <w:pStyle w:val="Normal"/>
        <w:spacing w:lineRule="auto" w:line="278" w:before="0" w:after="160"/>
        <w:jc w:val="both"/>
        <w:rPr/>
      </w:pPr>
      <w:r>
        <w:rPr/>
        <w:t xml:space="preserve">Vnější hodnocení kvality vykonává zejména Národní akreditační úřad pro </w:t>
      </w:r>
      <w:r>
        <w:rPr>
          <w:rFonts w:cs="Arial"/>
        </w:rPr>
        <w:t>terciární vzdělávání (dále také „Akreditační úřad“)</w:t>
      </w:r>
      <w:r>
        <w:rPr/>
        <w:t xml:space="preserve"> podle § 84 zákona o vysokých školách.</w:t>
      </w:r>
    </w:p>
    <w:p>
      <w:pPr>
        <w:pStyle w:val="Normal"/>
        <w:spacing w:lineRule="auto" w:line="278" w:before="0" w:after="160"/>
        <w:jc w:val="both"/>
        <w:rPr/>
      </w:pPr>
      <w:r>
        <w:rPr/>
        <w:t>Vysoká škola si může podle § 77a odst. 4 zákona o vysokých školách zajistit na vlastní náklady také hodnocení provedené všeobecně uznávanou hodnoticí agenturou, zejména agenturou zapsanou v Evropském registru agentur zabezpečujících kvalitu ve vysokém školství nebo agenturou sdruženou v Evropské asociaci pro zabezpečování kvality ve vysokém školství.</w:t>
      </w:r>
    </w:p>
    <w:p>
      <w:pPr>
        <w:pStyle w:val="Normal"/>
        <w:spacing w:lineRule="auto" w:line="278" w:before="0" w:after="160"/>
        <w:jc w:val="both"/>
        <w:rPr/>
      </w:pPr>
      <w:r>
        <w:rPr/>
        <w:t xml:space="preserve">Při vnějším hodnocení může Národní akreditační úřad pro </w:t>
      </w:r>
      <w:r>
        <w:rPr>
          <w:rFonts w:cs="Arial"/>
        </w:rPr>
        <w:t>terciární vzdělávání</w:t>
      </w:r>
      <w:r>
        <w:rPr/>
        <w:t xml:space="preserve"> využívat výsledky vnitřního hodnocení kvality i výsledky hodnocení provedeného všeobecně uznávanou hodnoticí agenturou (§ 84 zákona o vysokých školách).</w:t>
      </w:r>
    </w:p>
    <w:p>
      <w:pPr>
        <w:pStyle w:val="Normal"/>
        <w:spacing w:lineRule="auto" w:line="278" w:before="0" w:after="160"/>
        <w:jc w:val="both"/>
        <w:rPr/>
      </w:pPr>
      <w:r>
        <w:rPr/>
        <w:t>Funkční systém zajišťování a vnitřního hodnocení kvality představuje jednu ze základních podmínek pro udělení institucionální akreditace (§ 78 odst. 3 zákona o vysokých školách). Vysoká škola ucházející se o institucionální akreditaci musí mít současně zřízenu radu pro vnitřní hodnocení podle § 12a zákona o vysokých školách.</w:t>
      </w:r>
    </w:p>
    <w:p>
      <w:pPr>
        <w:pStyle w:val="Normal"/>
        <w:spacing w:lineRule="auto" w:line="278" w:before="0" w:after="160"/>
        <w:jc w:val="both"/>
        <w:rPr>
          <w:b/>
          <w:bCs/>
        </w:rPr>
      </w:pPr>
      <w:r>
        <w:rPr>
          <w:b/>
          <w:bCs/>
        </w:rPr>
        <w:t>2.5.2 Akreditace studijních programů a institucionální akreditace</w:t>
      </w:r>
    </w:p>
    <w:p>
      <w:pPr>
        <w:pStyle w:val="Normal"/>
        <w:spacing w:lineRule="auto" w:line="278" w:before="0" w:after="160"/>
        <w:jc w:val="both"/>
        <w:rPr/>
      </w:pPr>
      <w:r>
        <w:rPr/>
        <w:t>Vysokoškolské vzdělání se získává studiem v akreditovaném studijním programu (§ 44 zákona o vysokých školách). Za akreditovaný studijní program se pro účely zákona považuje také studijní program uskutečňovaný v rámci institucionální akreditace (§ 44 odst. 1 zákona o vysokých školách).</w:t>
      </w:r>
    </w:p>
    <w:p>
      <w:pPr>
        <w:pStyle w:val="Normal"/>
        <w:spacing w:lineRule="auto" w:line="278" w:before="0" w:after="160"/>
        <w:jc w:val="both"/>
        <w:rPr/>
      </w:pPr>
      <w:r>
        <w:rPr/>
        <w:t>Oprávnění vysoké školy uskutečňovat studijní programy vyplývá buď z institucionální akreditace, nebo z akreditace konkrétního studijního programu (§ 78 a násl. zákona o vysokých školách). Český systém vysokého školství je založen na kombinaci obou forem akreditace.</w:t>
      </w:r>
    </w:p>
    <w:p>
      <w:pPr>
        <w:pStyle w:val="Normal"/>
        <w:spacing w:lineRule="auto" w:line="278" w:before="0" w:after="160"/>
        <w:jc w:val="both"/>
        <w:rPr/>
      </w:pPr>
      <w:r>
        <w:rPr/>
        <w:t>Institucionální akreditace podle § 81a zákona o vysokých školách opravňuje vysokou školu samostatně vytvářet a uskutečňovat studijní programy určitého typu v jedné nebo více oblastech vzdělávání. Uděluje se zpravidla na dobu deseti let (§ 81b odst. 1 zákona o vysokých školách).</w:t>
      </w:r>
    </w:p>
    <w:p>
      <w:pPr>
        <w:pStyle w:val="Normal"/>
        <w:spacing w:lineRule="auto" w:line="278" w:before="0" w:after="160"/>
        <w:jc w:val="both"/>
        <w:rPr/>
      </w:pPr>
      <w:r>
        <w:rPr/>
        <w:t>Oblast vzdělávání (§ 44a zákona o vysokých školách) představuje věcně vymezený úsek vysokoškolského vzdělávání, v jehož rámci jsou vytvářeny a uskutečňovány studijní programy blízkého nebo příbuzného obsahového zaměření. Soustava oblastí vzdělávání je vymezena v příloze č. 3 zákona o vysokých školách a podrobněji rozpracována nařízením vlády č. 275/2016 Sb., o oblastech vzdělávání ve vysokém školství.</w:t>
      </w:r>
    </w:p>
    <w:p>
      <w:pPr>
        <w:pStyle w:val="Normal"/>
        <w:spacing w:lineRule="auto" w:line="278" w:before="0" w:after="160"/>
        <w:jc w:val="both"/>
        <w:rPr/>
      </w:pPr>
      <w:r>
        <w:rPr/>
        <w:t>Institucionální akreditace může být udělena vysoké škole, která splňuje standardy pro institucionální akreditaci a současně disponuje funkčním systémem zajišťování a vnitřního hodnocení kvality (§ 78 odst. 3 zákona o vysokých školách).</w:t>
      </w:r>
    </w:p>
    <w:p>
      <w:pPr>
        <w:pStyle w:val="Normal"/>
        <w:spacing w:lineRule="auto" w:line="278" w:before="0" w:after="160"/>
        <w:jc w:val="both"/>
        <w:rPr/>
      </w:pPr>
      <w:r>
        <w:rPr/>
        <w:t>Pokud oprávnění uskutečňovat studijní program nevyplývá z institucionální akreditace, může vysoká škola získat oprávnění prostřednictvím akreditace konkrétního studijního programu podle § 79 zákona o vysokých školách. Akreditace studijního programu se uděluje zpravidla na dobu deseti let a jejím předpokladem je splnění standardů pro akreditaci studijního programu podle § 78a odst. 2 písm. b) zákona o vysokých školách.</w:t>
      </w:r>
    </w:p>
    <w:p>
      <w:pPr>
        <w:pStyle w:val="Normal"/>
        <w:spacing w:lineRule="auto" w:line="278" w:before="0" w:after="160"/>
        <w:jc w:val="both"/>
        <w:rPr/>
      </w:pPr>
      <w:r>
        <w:rPr/>
        <w:t>U studijních programů, jejichž absolvováním se bezprostředně naplňují odborné předpoklady pro výkon regulovaného povolání, je podmínkou udělení akreditace studijního programu stanovisko příslušného uznávacího orgánu potvrzující, že absolventi budou odpovídajícím způsobem připraveni k výkonu regulovaného povolání (§ 78 odst. 6 zákona o vysokých školách). Obdobná podmínka (avšak ve formě povolení uznávacího orgánu) platí i pro uskutečňování těchto studijních programů na základě institucionální akreditace (§ 78 odst. 7 zákona o vysokých školách).</w:t>
      </w:r>
    </w:p>
    <w:p>
      <w:pPr>
        <w:pStyle w:val="Normal"/>
        <w:spacing w:lineRule="auto" w:line="278" w:before="0" w:after="160"/>
        <w:jc w:val="both"/>
        <w:rPr/>
      </w:pPr>
      <w:r>
        <w:rPr/>
        <w:t>V případě studijních programů zaměřených na přípravu odborníků v oblasti bezpečnosti České republiky je nezbytné kladné stanovisko nebo povolení Ministerstva obrany a Ministerstva vnitra (§ 78 odst. 6 a 7 zákona o vysokých školách).</w:t>
      </w:r>
    </w:p>
    <w:p>
      <w:pPr>
        <w:pStyle w:val="Normal"/>
        <w:spacing w:lineRule="auto" w:line="278" w:before="0" w:after="160"/>
        <w:jc w:val="both"/>
        <w:rPr/>
      </w:pPr>
      <w:r>
        <w:rPr/>
        <w:t xml:space="preserve">Rozhodování o akreditaci studijních programů, institucionální akreditaci a provádění vnějšího hodnocení kvality náleží Národnímu akreditačnímu úřadu pro </w:t>
      </w:r>
      <w:r>
        <w:rPr>
          <w:rFonts w:cs="Arial"/>
        </w:rPr>
        <w:t>terciární vzdělávání</w:t>
      </w:r>
      <w:r>
        <w:rPr/>
        <w:t xml:space="preserve"> (§ 83 a 84 zákona o vysokých školách).</w:t>
      </w:r>
    </w:p>
    <w:p>
      <w:pPr>
        <w:pStyle w:val="Normal"/>
        <w:spacing w:lineRule="auto" w:line="278" w:before="0" w:after="160"/>
        <w:jc w:val="both"/>
        <w:rPr/>
      </w:pPr>
      <w:r>
        <w:rPr/>
        <w:t>Zákon o vysokých školách současně zakotvuje systém standardů pro akreditace (§ 78a zákona o vysokých školách). Podrobnosti upravuje nařízení vlády č. 274/2016 Sb., o standardech pro akreditace ve vysokém školství.</w:t>
      </w:r>
    </w:p>
    <w:p>
      <w:pPr>
        <w:pStyle w:val="Normal"/>
        <w:spacing w:lineRule="auto" w:line="278" w:before="0" w:after="160"/>
        <w:jc w:val="both"/>
        <w:rPr/>
      </w:pPr>
      <w:r>
        <w:rPr/>
        <w:t>Standardy pro akreditace představují soubor požadavků stanovených se zřetelem k druhu řízení, účelu hodnocení a typu nebo profilu studijního programu. Zahrnují zejména:</w:t>
      </w:r>
    </w:p>
    <w:p>
      <w:pPr>
        <w:pStyle w:val="Normal"/>
        <w:numPr>
          <w:ilvl w:val="0"/>
          <w:numId w:val="24"/>
        </w:numPr>
        <w:spacing w:lineRule="auto" w:line="278" w:before="0" w:after="160"/>
        <w:jc w:val="both"/>
        <w:rPr/>
      </w:pPr>
      <w:r>
        <w:rPr/>
        <w:t>požadavky na institucionální prostředí vysoké školy, její strategii, řízení, personální zabezpečení, tvůrčí činnost, mezinárodní spolupráci, spolupráci s praxí a systém zajišťování kvality,</w:t>
      </w:r>
    </w:p>
    <w:p>
      <w:pPr>
        <w:pStyle w:val="Normal"/>
        <w:numPr>
          <w:ilvl w:val="0"/>
          <w:numId w:val="24"/>
        </w:numPr>
        <w:spacing w:lineRule="auto" w:line="278" w:before="0" w:after="160"/>
        <w:jc w:val="both"/>
        <w:rPr/>
      </w:pPr>
      <w:r>
        <w:rPr/>
        <w:t>požadavky na studijní program, zejména jeho obsahové zaměření, profil absolventa, odborné znalosti a dovednosti absolventů, personální, finanční a materiální zabezpečení a zabezpečení rovného přístupu ke vzdělávání,</w:t>
      </w:r>
    </w:p>
    <w:p>
      <w:pPr>
        <w:pStyle w:val="Normal"/>
        <w:numPr>
          <w:ilvl w:val="0"/>
          <w:numId w:val="24"/>
        </w:numPr>
        <w:spacing w:lineRule="auto" w:line="278" w:before="0" w:after="160"/>
        <w:jc w:val="both"/>
        <w:rPr/>
      </w:pPr>
      <w:r>
        <w:rPr/>
        <w:t>požadavky na systém řízení, zabezpečení a kontroly činností vysoké školy,</w:t>
      </w:r>
    </w:p>
    <w:p>
      <w:pPr>
        <w:pStyle w:val="Normal"/>
        <w:numPr>
          <w:ilvl w:val="0"/>
          <w:numId w:val="24"/>
        </w:numPr>
        <w:spacing w:lineRule="auto" w:line="278" w:before="0" w:after="160"/>
        <w:jc w:val="both"/>
        <w:rPr/>
      </w:pPr>
      <w:r>
        <w:rPr/>
        <w:t>požadavky na zajišťování a hodnocení kvality vzdělávací, tvůrčí a související činnosti.</w:t>
      </w:r>
    </w:p>
    <w:p>
      <w:pPr>
        <w:pStyle w:val="Normal"/>
        <w:spacing w:lineRule="auto" w:line="278" w:before="0" w:after="160"/>
        <w:jc w:val="both"/>
        <w:rPr>
          <w:b/>
          <w:bCs/>
        </w:rPr>
      </w:pPr>
      <w:r>
        <w:rPr>
          <w:b/>
          <w:bCs/>
        </w:rPr>
        <w:t>2.5.3 Nápravná a jiná opatření</w:t>
      </w:r>
    </w:p>
    <w:p>
      <w:pPr>
        <w:pStyle w:val="Normal"/>
        <w:spacing w:lineRule="auto" w:line="278" w:before="0" w:after="160"/>
        <w:jc w:val="both"/>
        <w:rPr/>
      </w:pPr>
      <w:r>
        <w:rPr/>
        <w:t>Zjistí-li Národní akreditační úřad pro</w:t>
      </w:r>
      <w:r>
        <w:rPr>
          <w:rFonts w:cs="Arial"/>
        </w:rPr>
        <w:t xml:space="preserve"> terciární vzdělávání</w:t>
      </w:r>
      <w:r>
        <w:rPr/>
        <w:t xml:space="preserve"> závažné nedostatky při uskutečňování akreditovaných činností, může uložit nápravná opatření podle § 86 zákona o vysokých školách. Tato opatření mohou spočívat zejména v omezení nebo odnětí akreditace studijního programu, omezení oprávnění uskutečňovat studijní program v rámci institucionální akreditace, omezení institucionální akreditace pro určitou oblast vzdělávání nebo v odnětí institucionální akreditace. Taková opatření mohou vést například k zákazu přijímat nové uchazeče ke studiu nebo ke ztrátě oprávnění vytvářet nové studijní programy v dotčené oblasti vzdělávání.</w:t>
      </w:r>
    </w:p>
    <w:p>
      <w:pPr>
        <w:pStyle w:val="Normal"/>
        <w:jc w:val="both"/>
        <w:rPr>
          <w:b/>
          <w:bCs/>
        </w:rPr>
      </w:pPr>
      <w:r>
        <w:rPr>
          <w:b/>
          <w:bCs/>
        </w:rPr>
      </w:r>
    </w:p>
    <w:p>
      <w:pPr>
        <w:pStyle w:val="Normal"/>
        <w:shd w:val="clear" w:color="auto" w:fill="C6D9F1" w:themeFill="text2" w:themeFillTint="33"/>
        <w:spacing w:lineRule="auto" w:line="278" w:before="0" w:after="160"/>
        <w:jc w:val="both"/>
        <w:rPr>
          <w:b/>
          <w:bCs/>
        </w:rPr>
      </w:pPr>
      <w:r>
        <w:rPr>
          <w:b/>
          <w:bCs/>
        </w:rPr>
        <w:t>2.6 Prováděcí právní předpisy zákona o vysokých školách </w:t>
      </w:r>
    </w:p>
    <w:p>
      <w:pPr>
        <w:pStyle w:val="Normal"/>
        <w:spacing w:lineRule="auto" w:line="278" w:before="0" w:after="160"/>
        <w:jc w:val="both"/>
        <w:rPr>
          <w:b/>
          <w:bCs/>
        </w:rPr>
      </w:pPr>
      <w:r>
        <w:rPr>
          <w:b/>
          <w:bCs/>
        </w:rPr>
      </w:r>
    </w:p>
    <w:p>
      <w:pPr>
        <w:pStyle w:val="Normal"/>
        <w:spacing w:lineRule="auto" w:line="278" w:before="0" w:after="160"/>
        <w:jc w:val="both"/>
        <w:rPr/>
      </w:pPr>
      <w:r>
        <w:rPr/>
        <w:t>Z prováděcích právních předpisů vydaných na základě zmocnění obsažených v současném zákoně o vysokých školách jsou dosud účinné tyto:  </w:t>
      </w:r>
    </w:p>
    <w:p>
      <w:pPr>
        <w:pStyle w:val="Normal"/>
        <w:numPr>
          <w:ilvl w:val="0"/>
          <w:numId w:val="25"/>
        </w:numPr>
        <w:spacing w:lineRule="auto" w:line="278" w:before="0" w:after="160"/>
        <w:jc w:val="both"/>
        <w:rPr/>
      </w:pPr>
      <w:r>
        <w:rPr/>
        <w:t>nařízení vlády č. 274/2016 Sb., o standardech pro akreditace ve vysokém školství,  </w:t>
      </w:r>
    </w:p>
    <w:p>
      <w:pPr>
        <w:pStyle w:val="Normal"/>
        <w:numPr>
          <w:ilvl w:val="0"/>
          <w:numId w:val="14"/>
        </w:numPr>
        <w:spacing w:lineRule="auto" w:line="278" w:before="0" w:after="160"/>
        <w:jc w:val="both"/>
        <w:rPr/>
      </w:pPr>
      <w:r>
        <w:rPr/>
        <w:t>nařízení vlády č. 275/2016 Sb., o oblastech vzdělávání ve vysokém školství,  </w:t>
      </w:r>
    </w:p>
    <w:p>
      <w:pPr>
        <w:pStyle w:val="Normal"/>
        <w:numPr>
          <w:ilvl w:val="0"/>
          <w:numId w:val="40"/>
        </w:numPr>
        <w:spacing w:lineRule="auto" w:line="278" w:before="0" w:after="160"/>
        <w:jc w:val="both"/>
        <w:rPr/>
      </w:pPr>
      <w:r>
        <w:rPr/>
        <w:t xml:space="preserve">vyhláška č. 276/2016 Sb., o předávání údajů do registru docentů, profesorů a mimořádných profesorů vysokých škol, </w:t>
      </w:r>
      <w:r>
        <w:rPr>
          <w:i/>
          <w:iCs/>
        </w:rPr>
        <w:t xml:space="preserve">ve znění vyhlášky č. … , </w:t>
      </w:r>
      <w:r>
        <w:rPr/>
        <w:t>(</w:t>
      </w:r>
      <w:r>
        <w:rPr>
          <w:i/>
          <w:iCs/>
        </w:rPr>
        <w:t>do 31. srpna 2028 – s ohledem na vládní návrh zákona o registrech ve vzdělávání a o změně některých souvisejících zákonů, sněmovní tisk 228)</w:t>
      </w:r>
      <w:r>
        <w:rPr/>
        <w:t> </w:t>
      </w:r>
    </w:p>
    <w:p>
      <w:pPr>
        <w:pStyle w:val="Normal"/>
        <w:numPr>
          <w:ilvl w:val="0"/>
          <w:numId w:val="27"/>
        </w:numPr>
        <w:spacing w:lineRule="auto" w:line="278" w:before="0" w:after="160"/>
        <w:jc w:val="both"/>
        <w:rPr/>
      </w:pPr>
      <w:r>
        <w:rPr/>
        <w:t xml:space="preserve">vyhláška č. 277/2016 Sb., o předávání statistických údajů vysokými školami, </w:t>
      </w:r>
      <w:r>
        <w:rPr>
          <w:i/>
          <w:iCs/>
        </w:rPr>
        <w:t>ve znění vyhlášky č. … ,</w:t>
      </w:r>
      <w:r>
        <w:rPr/>
        <w:t> </w:t>
      </w:r>
    </w:p>
    <w:p>
      <w:pPr>
        <w:pStyle w:val="ListParagraph"/>
        <w:numPr>
          <w:ilvl w:val="0"/>
          <w:numId w:val="82"/>
        </w:numPr>
        <w:spacing w:lineRule="auto" w:line="278" w:before="0" w:after="160"/>
        <w:contextualSpacing/>
        <w:jc w:val="both"/>
        <w:rPr/>
      </w:pPr>
      <w:r>
        <w:rPr/>
        <w:t>vyhláška č. 278/2016 Sb., o předávání údajů do registru řízení o žádostech o uznání zahraničního vysokoškolského vzdělání a kvalifikace,</w:t>
      </w:r>
      <w:r>
        <w:rPr>
          <w:i/>
          <w:iCs/>
        </w:rPr>
        <w:t xml:space="preserve"> ve znění vyhlášky č. … ,</w:t>
      </w:r>
      <w:r>
        <w:rPr/>
        <w:t> </w:t>
      </w:r>
    </w:p>
    <w:p>
      <w:pPr>
        <w:pStyle w:val="Normal"/>
        <w:numPr>
          <w:ilvl w:val="0"/>
          <w:numId w:val="17"/>
        </w:numPr>
        <w:spacing w:lineRule="auto" w:line="278" w:before="0" w:after="160"/>
        <w:jc w:val="both"/>
        <w:rPr/>
      </w:pPr>
      <w:r>
        <w:rPr/>
        <w:t>vyhláška č. 200/2025 Sb., o rámci kvalifikací vysokoškolského vzdělávání. </w:t>
      </w:r>
    </w:p>
    <w:p>
      <w:pPr>
        <w:pStyle w:val="Normal"/>
        <w:spacing w:lineRule="auto" w:line="278" w:before="0" w:after="160"/>
        <w:jc w:val="both"/>
        <w:rPr/>
      </w:pPr>
      <w:r>
        <w:rPr/>
      </w:r>
    </w:p>
    <w:p>
      <w:pPr>
        <w:pStyle w:val="Normal"/>
        <w:shd w:val="clear" w:color="auto" w:fill="C6D9F1" w:themeFill="text2" w:themeFillTint="33"/>
        <w:spacing w:lineRule="auto" w:line="278" w:before="0" w:after="160"/>
        <w:jc w:val="both"/>
        <w:rPr>
          <w:b/>
          <w:bCs/>
        </w:rPr>
      </w:pPr>
      <w:r>
        <w:rPr>
          <w:b/>
          <w:bCs/>
        </w:rPr>
        <w:t>2.7 Související zákony a další právní předpisy </w:t>
      </w:r>
    </w:p>
    <w:p>
      <w:pPr>
        <w:pStyle w:val="Normal"/>
        <w:spacing w:lineRule="auto" w:line="278" w:before="0" w:after="160"/>
        <w:jc w:val="both"/>
        <w:rPr>
          <w:b/>
          <w:bCs/>
        </w:rPr>
      </w:pPr>
      <w:r>
        <w:rPr>
          <w:b/>
          <w:bCs/>
        </w:rPr>
      </w:r>
    </w:p>
    <w:p>
      <w:pPr>
        <w:pStyle w:val="Normal"/>
        <w:spacing w:lineRule="auto" w:line="278" w:before="0" w:after="160"/>
        <w:jc w:val="both"/>
        <w:rPr/>
      </w:pPr>
      <w:r>
        <w:rPr/>
        <w:t>Na zákon o vysokých školách navazují zejména: </w:t>
      </w:r>
    </w:p>
    <w:p>
      <w:pPr>
        <w:pStyle w:val="Normal"/>
        <w:numPr>
          <w:ilvl w:val="0"/>
          <w:numId w:val="15"/>
        </w:numPr>
        <w:spacing w:lineRule="auto" w:line="278" w:before="0" w:after="160"/>
        <w:jc w:val="both"/>
        <w:rPr/>
      </w:pPr>
      <w:r>
        <w:rPr/>
        <w:t xml:space="preserve">připravovaný vládní návrh zákona o registrech ve vzdělávání a o změně některých souvisejících zákonů – sněmovní tisk 228 </w:t>
      </w:r>
      <w:r>
        <w:rPr>
          <w:i/>
          <w:iCs/>
        </w:rPr>
        <w:t>(navržena účinnost od 1. září 2028),</w:t>
      </w:r>
      <w:r>
        <w:rPr/>
        <w:t> </w:t>
      </w:r>
    </w:p>
    <w:p>
      <w:pPr>
        <w:pStyle w:val="Normal"/>
        <w:numPr>
          <w:ilvl w:val="0"/>
          <w:numId w:val="1"/>
        </w:numPr>
        <w:spacing w:lineRule="auto" w:line="278" w:before="0" w:after="160"/>
        <w:jc w:val="both"/>
        <w:rPr/>
      </w:pPr>
      <w:r>
        <w:rPr/>
        <w:t xml:space="preserve">zákon č. 500/2004 Sb., správní řád, ve znění p. p.; </w:t>
      </w:r>
      <w:r>
        <w:rPr>
          <w:i/>
          <w:iCs/>
        </w:rPr>
        <w:t>použije se na správní řízení vedená vysokými školami a dalšími orgány podle zákona o vysokých školách,</w:t>
      </w:r>
      <w:r>
        <w:rPr/>
        <w:t> </w:t>
      </w:r>
    </w:p>
    <w:p>
      <w:pPr>
        <w:pStyle w:val="Normal"/>
        <w:numPr>
          <w:ilvl w:val="0"/>
          <w:numId w:val="32"/>
        </w:numPr>
        <w:spacing w:lineRule="auto" w:line="278" w:before="0" w:after="160"/>
        <w:jc w:val="both"/>
        <w:rPr/>
      </w:pPr>
      <w:r>
        <w:rPr/>
        <w:t xml:space="preserve">zákon č. 218/2000 Sb., o rozpočtových pravidlech a o změně některých souvisejících zákonů (rozpočtová pravidla), ve znění p. p., </w:t>
      </w:r>
      <w:r>
        <w:rPr>
          <w:i/>
          <w:iCs/>
        </w:rPr>
        <w:t>(který upravuje některá poskytování prostředků ze státního rozpočtu)</w:t>
      </w:r>
      <w:r>
        <w:rPr/>
        <w:t>, </w:t>
      </w:r>
    </w:p>
    <w:p>
      <w:pPr>
        <w:pStyle w:val="Normal"/>
        <w:numPr>
          <w:ilvl w:val="0"/>
          <w:numId w:val="30"/>
        </w:numPr>
        <w:spacing w:lineRule="auto" w:line="278" w:before="0" w:after="160"/>
        <w:jc w:val="both"/>
        <w:rPr/>
      </w:pPr>
      <w:r>
        <w:rPr/>
        <w:t xml:space="preserve">zákon č. 219/2000 Sb., o majetku České republiky a jejím vystupování v právních vztazích, ve znění p. p.; </w:t>
      </w:r>
      <w:r>
        <w:rPr>
          <w:i/>
          <w:iCs/>
        </w:rPr>
        <w:t>vztahuje se zejména na státní vysoké školy,</w:t>
      </w:r>
      <w:r>
        <w:rPr/>
        <w:t> </w:t>
      </w:r>
    </w:p>
    <w:p>
      <w:pPr>
        <w:pStyle w:val="Normal"/>
        <w:numPr>
          <w:ilvl w:val="0"/>
          <w:numId w:val="8"/>
        </w:numPr>
        <w:spacing w:lineRule="auto" w:line="278" w:before="0" w:after="160"/>
        <w:jc w:val="both"/>
        <w:rPr/>
      </w:pPr>
      <w:r>
        <w:rPr/>
        <w:t>zákon č. 23/2017 Sb., o pravidlech rozpočtové odpovědnosti, ve znění p. p., </w:t>
      </w:r>
    </w:p>
    <w:p>
      <w:pPr>
        <w:pStyle w:val="Normal"/>
        <w:numPr>
          <w:ilvl w:val="0"/>
          <w:numId w:val="33"/>
        </w:numPr>
        <w:spacing w:lineRule="auto" w:line="278" w:before="0" w:after="160"/>
        <w:jc w:val="both"/>
        <w:rPr/>
      </w:pPr>
      <w:r>
        <w:rPr/>
        <w:t xml:space="preserve">zákon č. 130/2002 Sb., o podpoře výzkumu, experimentálního vývoje a inovací z veřejných prostředků a o změně některých souvisejících zákonů (zákon o podpoře výzkumu, experimentálního vývoje a inovací), ve znění p. p. </w:t>
      </w:r>
      <w:r>
        <w:rPr>
          <w:i/>
          <w:iCs/>
        </w:rPr>
        <w:t>(který upravuje financování a hodnocení výzkumné činnosti vysokých škol) - (do 31.12.2026),</w:t>
      </w:r>
      <w:r>
        <w:rPr/>
        <w:t> </w:t>
      </w:r>
    </w:p>
    <w:p>
      <w:pPr>
        <w:pStyle w:val="Normal"/>
        <w:numPr>
          <w:ilvl w:val="0"/>
          <w:numId w:val="21"/>
        </w:numPr>
        <w:spacing w:lineRule="auto" w:line="278" w:before="0" w:after="160"/>
        <w:jc w:val="both"/>
        <w:rPr/>
      </w:pPr>
      <w:r>
        <w:rPr/>
        <w:t xml:space="preserve">zákon č. 328/2025 Sb., o výzkumu, vývoji, inovacích a transferu znalostí </w:t>
      </w:r>
      <w:r>
        <w:rPr>
          <w:i/>
          <w:iCs/>
        </w:rPr>
        <w:t>(od 1.1.2027),</w:t>
      </w:r>
      <w:r>
        <w:rPr/>
        <w:t> </w:t>
      </w:r>
    </w:p>
    <w:p>
      <w:pPr>
        <w:pStyle w:val="Normal"/>
        <w:numPr>
          <w:ilvl w:val="0"/>
          <w:numId w:val="22"/>
        </w:numPr>
        <w:spacing w:lineRule="auto" w:line="278" w:before="0" w:after="160"/>
        <w:jc w:val="both"/>
        <w:rPr/>
      </w:pPr>
      <w:r>
        <w:rPr/>
        <w:t>zákon č. 89/2012 Sb., občanský zákoník, ve znění p. p.,  </w:t>
      </w:r>
    </w:p>
    <w:p>
      <w:pPr>
        <w:pStyle w:val="Normal"/>
        <w:numPr>
          <w:ilvl w:val="0"/>
          <w:numId w:val="13"/>
        </w:numPr>
        <w:spacing w:lineRule="auto" w:line="278" w:before="0" w:after="160"/>
        <w:jc w:val="both"/>
        <w:rPr/>
      </w:pPr>
      <w:r>
        <w:rPr/>
        <w:t>zákon č. 262/2006 Sb., zákoník práce, ve znění p. p</w:t>
      </w:r>
      <w:r>
        <w:rPr>
          <w:i/>
          <w:iCs/>
        </w:rPr>
        <w:t>. (který upravuje pracovněprávní vztahy zaměstnanců vysokých škol včetně akademických pracovníků),</w:t>
      </w:r>
      <w:r>
        <w:rPr/>
        <w:t> </w:t>
      </w:r>
    </w:p>
    <w:p>
      <w:pPr>
        <w:pStyle w:val="Normal"/>
        <w:numPr>
          <w:ilvl w:val="0"/>
          <w:numId w:val="23"/>
        </w:numPr>
        <w:spacing w:lineRule="auto" w:line="278" w:before="0" w:after="160"/>
        <w:jc w:val="both"/>
        <w:rPr/>
      </w:pPr>
      <w:r>
        <w:rPr/>
        <w:t>zákon č. 340/2015 Sb., o zvláštních podmínkách účinnosti některých smluv, uveřejňování těchto smluv a o registru smluv (zákon o registru smluv), ve znění p. p., </w:t>
      </w:r>
    </w:p>
    <w:p>
      <w:pPr>
        <w:pStyle w:val="Normal"/>
        <w:numPr>
          <w:ilvl w:val="0"/>
          <w:numId w:val="35"/>
        </w:numPr>
        <w:spacing w:lineRule="auto" w:line="278" w:before="0" w:after="160"/>
        <w:jc w:val="both"/>
        <w:rPr/>
      </w:pPr>
      <w:r>
        <w:rPr/>
        <w:t xml:space="preserve">zákon č. 320/2001 Sb., o finanční kontrole ve veřejné správě a o změně některých zákonů (zákon o finanční kontrole), ve znění p. p. </w:t>
      </w:r>
      <w:r>
        <w:rPr>
          <w:i/>
          <w:iCs/>
        </w:rPr>
        <w:t>(do 31.12.2026),</w:t>
      </w:r>
      <w:r>
        <w:rPr/>
        <w:t> </w:t>
      </w:r>
    </w:p>
    <w:p>
      <w:pPr>
        <w:pStyle w:val="Normal"/>
        <w:numPr>
          <w:ilvl w:val="0"/>
          <w:numId w:val="10"/>
        </w:numPr>
        <w:spacing w:lineRule="auto" w:line="278" w:before="0" w:after="160"/>
        <w:jc w:val="both"/>
        <w:rPr/>
      </w:pPr>
      <w:r>
        <w:rPr/>
        <w:t xml:space="preserve">zákon č. 231/2025 Sb., o řízení a kontrole veřejných financí, </w:t>
      </w:r>
      <w:r>
        <w:rPr>
          <w:i/>
          <w:iCs/>
        </w:rPr>
        <w:t>(od 1.1.2027),</w:t>
      </w:r>
      <w:r>
        <w:rPr/>
        <w:t> </w:t>
      </w:r>
    </w:p>
    <w:p>
      <w:pPr>
        <w:pStyle w:val="Normal"/>
        <w:numPr>
          <w:ilvl w:val="0"/>
          <w:numId w:val="41"/>
        </w:numPr>
        <w:spacing w:lineRule="auto" w:line="278" w:before="0" w:after="160"/>
        <w:jc w:val="both"/>
        <w:rPr/>
      </w:pPr>
      <w:r>
        <w:rPr/>
        <w:t>zákon č. 255/2012 Sb., o kontrole (kontrolní řád), ve znění zákona č. 183/2017 Sb., </w:t>
      </w:r>
    </w:p>
    <w:p>
      <w:pPr>
        <w:pStyle w:val="Normal"/>
        <w:numPr>
          <w:ilvl w:val="0"/>
          <w:numId w:val="12"/>
        </w:numPr>
        <w:spacing w:lineRule="auto" w:line="278" w:before="0" w:after="160"/>
        <w:jc w:val="both"/>
        <w:rPr/>
      </w:pPr>
      <w:r>
        <w:rPr/>
        <w:t>zákon č. 222/2009 Sb., o volném pohybu služeb, ve znění p. p. </w:t>
      </w:r>
    </w:p>
    <w:p>
      <w:pPr>
        <w:pStyle w:val="Normal"/>
        <w:numPr>
          <w:ilvl w:val="0"/>
          <w:numId w:val="12"/>
        </w:numPr>
        <w:spacing w:lineRule="auto" w:line="278" w:before="0" w:after="160"/>
        <w:jc w:val="both"/>
        <w:rPr/>
      </w:pPr>
      <w:r>
        <w:rPr/>
        <w:t>zákon č. 365/2000 Sb., o informačních systémech veřejné správy a o změně některých dalších zákonů</w:t>
      </w:r>
    </w:p>
    <w:p>
      <w:pPr>
        <w:pStyle w:val="Normal"/>
        <w:numPr>
          <w:ilvl w:val="0"/>
          <w:numId w:val="12"/>
        </w:numPr>
        <w:spacing w:lineRule="auto" w:line="278" w:before="0" w:after="160"/>
        <w:jc w:val="both"/>
        <w:rPr/>
      </w:pPr>
      <w:r>
        <w:rPr/>
        <w:t>zákon č. 111/2009 Sb., o základních registrech</w:t>
      </w:r>
    </w:p>
    <w:p>
      <w:pPr>
        <w:pStyle w:val="Normal"/>
        <w:numPr>
          <w:ilvl w:val="0"/>
          <w:numId w:val="12"/>
        </w:numPr>
        <w:spacing w:lineRule="auto" w:line="278" w:before="0" w:after="160"/>
        <w:jc w:val="both"/>
        <w:rPr/>
      </w:pPr>
      <w:r>
        <w:rPr/>
        <w:t>zákon č. 12/2020 Sb., o právu na digitální služby a o změně některých zákonů</w:t>
      </w:r>
    </w:p>
    <w:p>
      <w:pPr>
        <w:pStyle w:val="Normal"/>
        <w:numPr>
          <w:ilvl w:val="0"/>
          <w:numId w:val="12"/>
        </w:numPr>
        <w:spacing w:lineRule="auto" w:line="278" w:before="0" w:after="160"/>
        <w:jc w:val="both"/>
        <w:rPr/>
      </w:pPr>
      <w:r>
        <w:rPr/>
        <w:t>zákon č. 264/2025, o kybernetické bezpečnosti</w:t>
      </w:r>
    </w:p>
    <w:p>
      <w:pPr>
        <w:pStyle w:val="Normal"/>
        <w:numPr>
          <w:ilvl w:val="0"/>
          <w:numId w:val="12"/>
        </w:numPr>
        <w:spacing w:lineRule="auto" w:line="278" w:before="0" w:after="160"/>
        <w:jc w:val="both"/>
        <w:rPr/>
      </w:pPr>
      <w:r>
        <w:rPr/>
        <w:t>zákon č. 60/2026, o správě dat a řízeném přístupu k datům a o změně některých souvisejících zákonů (zákon o správě dat a o řízeném přístupu k datům)</w:t>
      </w:r>
    </w:p>
    <w:p>
      <w:pPr>
        <w:pStyle w:val="Normal"/>
        <w:spacing w:lineRule="auto" w:line="278"/>
        <w:jc w:val="both"/>
        <w:rPr/>
      </w:pPr>
      <w:r>
        <w:rPr/>
        <w:t>Na státní vysoké školy se dále vztahují právní předpisy z oblasti bezpečnosti – například: </w:t>
      </w:r>
    </w:p>
    <w:p>
      <w:pPr>
        <w:pStyle w:val="Normal"/>
        <w:numPr>
          <w:ilvl w:val="0"/>
          <w:numId w:val="34"/>
        </w:numPr>
        <w:spacing w:lineRule="auto" w:line="278" w:before="0" w:after="160"/>
        <w:jc w:val="both"/>
        <w:rPr/>
      </w:pPr>
      <w:r>
        <w:rPr/>
        <w:t>zákon č. 361/2003 Sb., o služebním poměru příslušníků bezpečnostních sborů, ve znění p. p. </w:t>
      </w:r>
    </w:p>
    <w:p>
      <w:pPr>
        <w:pStyle w:val="Normal"/>
        <w:numPr>
          <w:ilvl w:val="0"/>
          <w:numId w:val="6"/>
        </w:numPr>
        <w:spacing w:lineRule="auto" w:line="278" w:before="0" w:after="160"/>
        <w:jc w:val="both"/>
        <w:rPr/>
      </w:pPr>
      <w:r>
        <w:rPr/>
        <w:t>zákon č. 273/2008 Sb., o Policii České republiky, ve znění p. p.  </w:t>
      </w:r>
    </w:p>
    <w:p>
      <w:pPr>
        <w:pStyle w:val="Normal"/>
        <w:numPr>
          <w:ilvl w:val="0"/>
          <w:numId w:val="16"/>
        </w:numPr>
        <w:spacing w:lineRule="auto" w:line="278" w:before="0" w:after="160"/>
        <w:jc w:val="both"/>
        <w:rPr/>
      </w:pPr>
      <w:r>
        <w:rPr/>
        <w:t>zákon č. 221/1999 Sb. o vojácích z povolání, ve znění p. p. </w:t>
      </w:r>
    </w:p>
    <w:p>
      <w:pPr>
        <w:pStyle w:val="Normal"/>
        <w:numPr>
          <w:ilvl w:val="0"/>
          <w:numId w:val="4"/>
        </w:numPr>
        <w:spacing w:lineRule="auto" w:line="278" w:before="0" w:after="160"/>
        <w:jc w:val="both"/>
        <w:rPr/>
      </w:pPr>
      <w:r>
        <w:rPr/>
        <w:t>zákon č. 219/1999 Sb., o ozbrojených silách České republiky, ve znění p. p.  </w:t>
      </w:r>
    </w:p>
    <w:p>
      <w:pPr>
        <w:pStyle w:val="Normal"/>
        <w:numPr>
          <w:ilvl w:val="0"/>
          <w:numId w:val="5"/>
        </w:numPr>
        <w:spacing w:lineRule="auto" w:line="278" w:before="0" w:after="160"/>
        <w:jc w:val="both"/>
        <w:rPr/>
      </w:pPr>
      <w:r>
        <w:rPr/>
        <w:t>nařízení vlády č. 60/2015 Sb., o stanovení seznamu činností pro jednotlivé vojenské hodnosti </w:t>
      </w:r>
    </w:p>
    <w:p>
      <w:pPr>
        <w:pStyle w:val="Normal"/>
        <w:spacing w:lineRule="auto" w:line="278" w:before="0" w:after="160"/>
        <w:jc w:val="both"/>
        <w:rPr/>
      </w:pPr>
      <w:r>
        <w:rPr/>
        <w:t>  </w:t>
      </w:r>
    </w:p>
    <w:p>
      <w:pPr>
        <w:pStyle w:val="Normal"/>
        <w:spacing w:lineRule="auto" w:line="278" w:before="0" w:after="160"/>
        <w:jc w:val="both"/>
        <w:rPr/>
      </w:pPr>
      <w:r>
        <w:rPr/>
        <w:t>Přijetí nového zákona o vysokých školách (s novou strukturou a obsahem) a věcné změny uváděných okruhů právní úpravy, promítnuté do nového zákona o vysokých školách, mohou vyvolat potřebu přímé (popř. alespoň obecné nepřímé) novelizace zákonů nebo dalších právních předpisů, které v textu používají pojmů z oblasti vysokoškolské terminologie, k jejichž zrušení, transformaci nebo změně významu dojde, a změny předpisů, které na zákon o vysokých školách odkazují. </w:t>
      </w:r>
    </w:p>
    <w:p>
      <w:pPr>
        <w:pStyle w:val="Heading2"/>
        <w:rPr>
          <w:rFonts w:ascii="Arial" w:hAnsi="Arial" w:eastAsia="Arial"/>
          <w:sz w:val="20"/>
          <w:szCs w:val="20"/>
        </w:rPr>
      </w:pPr>
      <w:r>
        <w:rPr>
          <w:rFonts w:eastAsia="Arial" w:ascii="Arial" w:hAnsi="Arial"/>
          <w:sz w:val="20"/>
          <w:szCs w:val="20"/>
        </w:rPr>
      </w:r>
    </w:p>
    <w:p>
      <w:pPr>
        <w:pStyle w:val="Heading2"/>
        <w:shd w:val="clear" w:color="auto" w:fill="548DD4" w:themeFill="text2" w:themeFillTint="99"/>
        <w:rPr>
          <w:color w:val="auto"/>
        </w:rPr>
      </w:pPr>
      <w:r>
        <w:rPr>
          <w:rFonts w:eastAsia="Arial" w:ascii="Arial" w:hAnsi="Arial"/>
          <w:color w:val="auto"/>
          <w:sz w:val="20"/>
          <w:szCs w:val="20"/>
        </w:rPr>
        <w:t>3. Hodnocení současného stavu</w:t>
      </w:r>
    </w:p>
    <w:p>
      <w:pPr>
        <w:pStyle w:val="Normal"/>
        <w:spacing w:before="0" w:after="20"/>
        <w:ind w:start="340"/>
        <w:rPr>
          <w:b/>
          <w:bCs/>
        </w:rPr>
      </w:pPr>
      <w:r>
        <w:rPr>
          <w:b/>
          <w:bCs/>
        </w:rPr>
      </w:r>
    </w:p>
    <w:p>
      <w:pPr>
        <w:pStyle w:val="Normal"/>
        <w:shd w:val="clear" w:color="auto" w:fill="95B3D7" w:themeFill="accent1" w:themeFillTint="99"/>
        <w:spacing w:lineRule="auto" w:line="278" w:before="0" w:after="160"/>
        <w:jc w:val="both"/>
        <w:rPr>
          <w:rFonts w:cs="Arial"/>
          <w:b/>
          <w:bCs/>
        </w:rPr>
      </w:pPr>
      <w:r>
        <w:rPr>
          <w:rFonts w:cs="Arial"/>
          <w:b/>
          <w:bCs/>
        </w:rPr>
        <w:t>3.1 Řízení a správa</w:t>
      </w:r>
    </w:p>
    <w:p>
      <w:pPr>
        <w:pStyle w:val="Normal"/>
        <w:spacing w:lineRule="auto" w:line="278" w:before="0" w:after="160"/>
        <w:jc w:val="both"/>
        <w:rPr>
          <w:rFonts w:eastAsia="Times New Roman" w:cs="Arial"/>
          <w:lang w:eastAsia="cs-CZ"/>
        </w:rPr>
      </w:pPr>
      <w:r>
        <w:rPr>
          <w:rFonts w:eastAsia="Times New Roman" w:cs="Arial"/>
          <w:lang w:eastAsia="cs-CZ"/>
        </w:rPr>
        <w:t>Stávající zákonné ukotvení řízení vysokých škol vzniklo v době menších a méně komplexních veřejných vysokých škol. Současné vysoké školy však představují rozsáhlé organizace spravující miliardové rozpočty, rozsáhlou infrastrukturu a tisíce zaměstnanců a studentů. Právní úprava je přesto stále založena převážně na principech reprezentace jednotlivých součástí vysoké školy a méně reflektuje potřebu institucionálního strategického řízení. Chybí dostatečné nástroje pro stanovování a vyhodnocování strategických priorit na úrovni celé instituce, což může oslabovat její schopnost reagovat na společenské, technologické a ekonomické změny.</w:t>
      </w:r>
    </w:p>
    <w:p>
      <w:pPr>
        <w:pStyle w:val="Normal"/>
        <w:spacing w:lineRule="auto" w:line="278" w:before="0" w:after="160"/>
        <w:jc w:val="both"/>
        <w:rPr>
          <w:rFonts w:eastAsia="Times New Roman" w:cs="Arial"/>
          <w:lang w:eastAsia="cs-CZ"/>
        </w:rPr>
      </w:pPr>
      <w:r>
        <w:rPr>
          <w:rFonts w:eastAsia="Times New Roman" w:cs="Arial"/>
          <w:lang w:eastAsia="cs-CZ"/>
        </w:rPr>
        <w:t xml:space="preserve">Současná právní úprava vychází z modelu decentralizované vysoké školy, v němž jsou fakulty nadány rozsáhlou samosprávnou působností v personálních, ekonomických i akademických otázkách. Tento model přispívá k ochraně akademické autonomie fakult, současně však může komplikovat jednotné strategické řízení vysoké školy jako celku. Rektor a centrální vedení nesou odpovědnost za vysokou školu vůči státu, akreditačním orgánům i veřejnosti, avšak nemají vždy dostatečné nástroje k prosazování celouniverzitních priorit napříč fakultami. To může vést k roztříštěnosti rozhodování, duplicitám a obtížnějšímu prosazování společné strategie. </w:t>
      </w:r>
    </w:p>
    <w:p>
      <w:pPr>
        <w:pStyle w:val="Normal"/>
        <w:spacing w:lineRule="auto" w:line="278" w:before="0" w:after="160"/>
        <w:jc w:val="both"/>
        <w:rPr>
          <w:rFonts w:eastAsia="Times New Roman" w:cs="Arial"/>
          <w:lang w:eastAsia="cs-CZ"/>
        </w:rPr>
      </w:pPr>
      <w:r>
        <w:rPr>
          <w:rFonts w:eastAsia="Times New Roman" w:cs="Arial"/>
          <w:lang w:eastAsia="cs-CZ"/>
        </w:rPr>
        <w:t xml:space="preserve">Rektor je v současném systému statutárním orgánem vysoké školy a odpovídá za její řádné fungování, v některých klíčových oblastech však nemá k dispozici odpovídající nástroje pro výkon odpovědnosti. Zejména na univerzitních vysokých školách může být omezená možnost prosazovat strategické priority napříč fakultami nebo koordinovat personální a finanční řízení celé instituce. Současná právní úprava tak nezajišťuje dostatečný soulad mezi odpovědností za výsledky vysoké školy a pravomocemi potřebnými k jejich dosažení. </w:t>
      </w:r>
    </w:p>
    <w:p>
      <w:pPr>
        <w:pStyle w:val="Normal"/>
        <w:spacing w:lineRule="auto" w:line="278" w:before="0" w:after="160"/>
        <w:jc w:val="both"/>
        <w:rPr>
          <w:rFonts w:eastAsia="Times New Roman" w:cs="Arial"/>
          <w:lang w:eastAsia="cs-CZ"/>
        </w:rPr>
      </w:pPr>
      <w:r>
        <w:rPr>
          <w:rFonts w:eastAsia="Times New Roman" w:cs="Arial"/>
          <w:lang w:eastAsia="cs-CZ"/>
        </w:rPr>
        <w:t>Současná právní úprava svěřuje významné pravomoci řadě kolektivních i individuálních orgánů vysoké školy, přičemž odpovědnost za dosažené výsledky není vždy jednoznačně provázána s odpovídajícími rozhodovacími pravomocemi. Rozhodovací procesy jsou založeny na sdílených a v některých případech překrývajících se kompetencích jednotlivých orgánů, což může ztěžovat efektivní strategické řízení, snižovat akceschopnost vedení vysokých škol a komplikovat dlouhodobé plánování jejich rozvoje.</w:t>
      </w:r>
    </w:p>
    <w:p>
      <w:pPr>
        <w:pStyle w:val="Normal"/>
        <w:spacing w:lineRule="auto" w:line="278" w:before="0" w:after="160"/>
        <w:jc w:val="both"/>
        <w:rPr>
          <w:rFonts w:eastAsia="Times New Roman" w:cs="Arial"/>
          <w:lang w:eastAsia="cs-CZ"/>
        </w:rPr>
      </w:pPr>
      <w:r>
        <w:rPr>
          <w:rFonts w:eastAsia="Times New Roman" w:cs="Arial"/>
          <w:lang w:eastAsia="cs-CZ"/>
        </w:rPr>
        <w:t>Současně se významně rozšířily požadavky na řízení kvality, rozvoj lidských zdrojů a mezinárodní konkurenceschopnost vysokých škol. Stávající právní úprava však nevytváří dostatečně jasný rámec pro propojení strategického řízení, systému zajišťování kvality a personální politiky. Odpovědnost za kvalitu vzdělávací, tvůrčí a související činnosti ani za rozvoj akademických pracovníků není vždy jednoznačně ukotvena a řada procesů vychází spíše z historických organizačních struktur než z potřeb moderně řízených vysokoškolských institucí. Posilování kvality akademických kariér, rozvoj talentů a získávání kvalitních pracovníků přitom představují jeden z klíčových předpokladů dlouhodobé úspěšnosti vysokých škol.</w:t>
      </w:r>
    </w:p>
    <w:p>
      <w:pPr>
        <w:pStyle w:val="Normal"/>
        <w:spacing w:lineRule="auto" w:line="278" w:before="0" w:after="160"/>
        <w:jc w:val="both"/>
        <w:rPr>
          <w:rFonts w:eastAsia="Times New Roman" w:cs="Arial"/>
          <w:lang w:eastAsia="cs-CZ"/>
        </w:rPr>
      </w:pPr>
      <w:r>
        <w:rPr>
          <w:rFonts w:eastAsia="Times New Roman" w:cs="Arial"/>
          <w:lang w:eastAsia="cs-CZ"/>
        </w:rPr>
        <w:t>Nedostatečné zapojení externí perspektivy do strategického řízení</w:t>
      </w:r>
    </w:p>
    <w:p>
      <w:pPr>
        <w:pStyle w:val="Normal"/>
        <w:spacing w:lineRule="auto" w:line="278" w:before="0" w:after="160"/>
        <w:jc w:val="both"/>
        <w:rPr>
          <w:rFonts w:eastAsia="Times New Roman" w:cs="Arial"/>
          <w:lang w:eastAsia="cs-CZ"/>
        </w:rPr>
      </w:pPr>
      <w:r>
        <w:rPr>
          <w:rFonts w:eastAsia="Times New Roman" w:cs="Arial"/>
          <w:lang w:eastAsia="cs-CZ"/>
        </w:rPr>
        <w:t>Vysoké školy dnes působí v prostředí, které vyžaduje intenzivní spolupráci se zaměstnavateli, veřejnou správou, výzkumnými organizacemi i mezinárodními partnery. Současný systém řízení je však založen především na vnitřních strukturách akademické samosprávy. Přestože tento princip zůstává zásadní hodnotou univerzitního prostředí, právní úprava dostatečně neumožňuje systematicky zapojovat externí odborníky do strategických diskusí o směřování vysoké školy, kvalitě studijních programů nebo rozvoji lidských zdrojů. Tím se snižuje schopnost vysokých škol reagovat na potřeby společnosti a trhu práce.</w:t>
      </w:r>
    </w:p>
    <w:p>
      <w:pPr>
        <w:pStyle w:val="Normal"/>
        <w:spacing w:lineRule="auto" w:line="278" w:before="0" w:after="160"/>
        <w:jc w:val="both"/>
        <w:rPr>
          <w:rFonts w:eastAsia="Times New Roman" w:cs="Arial"/>
          <w:lang w:eastAsia="cs-CZ"/>
        </w:rPr>
      </w:pPr>
      <w:r>
        <w:rPr>
          <w:rFonts w:eastAsia="Times New Roman" w:cs="Arial"/>
          <w:lang w:eastAsia="cs-CZ"/>
        </w:rPr>
        <w:t>Nevhodné vyvážení akademické samosprávy a institucionálního řízení</w:t>
      </w:r>
    </w:p>
    <w:p>
      <w:pPr>
        <w:pStyle w:val="Normal"/>
        <w:spacing w:lineRule="auto" w:line="278" w:before="0" w:after="160"/>
        <w:jc w:val="both"/>
        <w:rPr>
          <w:rFonts w:eastAsia="Times New Roman" w:cs="Arial"/>
          <w:lang w:eastAsia="cs-CZ"/>
        </w:rPr>
      </w:pPr>
      <w:r>
        <w:rPr>
          <w:rFonts w:eastAsia="Times New Roman" w:cs="Arial"/>
          <w:lang w:eastAsia="cs-CZ"/>
        </w:rPr>
        <w:t>Akademická samospráva představuje základní princip fungování vysokých škol a musí být zachována. Současná právní úprava však v některých případech směšuje funkce samosprávné reprezentace akademické obce s funkcemi výkonného řízení a strategického rozhodování. Výsledkem může být prodlužování rozhodovacích procesů, nejasné odpovědnostní vztahy nebo obtížnější realizace dlouhodobých rozvojových opatření. Současná právní úprava proto ne vždy vytváří optimální rovnováhu mezi participací akademické obce a efektivním řízením instituce.</w:t>
      </w:r>
    </w:p>
    <w:p>
      <w:pPr>
        <w:pStyle w:val="Normal"/>
        <w:spacing w:lineRule="auto" w:line="278" w:before="0" w:after="160"/>
        <w:jc w:val="both"/>
        <w:rPr>
          <w:rFonts w:eastAsia="Times New Roman" w:cs="Arial"/>
          <w:lang w:eastAsia="cs-CZ"/>
        </w:rPr>
      </w:pPr>
      <w:r>
        <w:rPr>
          <w:rFonts w:eastAsia="Times New Roman" w:cs="Arial"/>
          <w:lang w:eastAsia="cs-CZ"/>
        </w:rPr>
        <w:t>Nedostatečná flexibilita orgánů vysokých škol</w:t>
      </w:r>
    </w:p>
    <w:p>
      <w:pPr>
        <w:pStyle w:val="Normal"/>
        <w:spacing w:lineRule="auto" w:line="278" w:before="0" w:after="160"/>
        <w:jc w:val="both"/>
        <w:rPr>
          <w:rFonts w:eastAsia="Times New Roman" w:cs="Arial"/>
          <w:lang w:eastAsia="cs-CZ"/>
        </w:rPr>
      </w:pPr>
      <w:r>
        <w:rPr>
          <w:rFonts w:eastAsia="Times New Roman" w:cs="Arial"/>
          <w:lang w:eastAsia="cs-CZ"/>
        </w:rPr>
        <w:t>Zákon předpokládá relativně jednotný model vnitřního uspořádání vysokých škol bez ohledu na jejich velikost, poslání nebo odborné zaměření. Současně neumožňuje dostatečně pružně vytvářet orgány zaměřené například na rozvoj studijních programů, akademické kariéry nebo práva studentů. To omezuje schopnost vysokých škol zavádět moderní mechanismy řízení a kvality, které jsou běžné v řadě zahraničních vysokoškolských systémů.</w:t>
      </w:r>
    </w:p>
    <w:p>
      <w:pPr>
        <w:pStyle w:val="Normal"/>
        <w:spacing w:before="0" w:after="200"/>
        <w:rPr>
          <w:rFonts w:eastAsia="Times New Roman" w:cs="Arial"/>
          <w:lang w:eastAsia="cs-CZ"/>
        </w:rPr>
      </w:pPr>
      <w:r>
        <w:rPr>
          <w:rFonts w:eastAsia="Times New Roman" w:cs="Arial"/>
          <w:lang w:eastAsia="cs-CZ"/>
        </w:rPr>
      </w:r>
      <w:r>
        <w:br w:type="page"/>
      </w:r>
    </w:p>
    <w:p>
      <w:pPr>
        <w:pStyle w:val="Normal"/>
        <w:numPr>
          <w:ilvl w:val="0"/>
          <w:numId w:val="0"/>
        </w:numPr>
        <w:spacing w:lineRule="auto" w:line="278" w:before="0" w:after="160"/>
        <w:jc w:val="both"/>
        <w:outlineLvl w:val="2"/>
        <w:rPr>
          <w:rFonts w:eastAsia="Times New Roman" w:cs="Arial"/>
          <w:lang w:eastAsia="cs-CZ"/>
        </w:rPr>
      </w:pPr>
      <w:r>
        <w:rPr>
          <w:rFonts w:eastAsia="Times New Roman" w:cs="Arial"/>
          <w:lang w:eastAsia="cs-CZ"/>
        </w:rPr>
        <w:t>Asymetrie mezi fakultami a vysokou školou jako celkem</w:t>
      </w:r>
    </w:p>
    <w:p>
      <w:pPr>
        <w:pStyle w:val="Heading2"/>
        <w:spacing w:lineRule="auto" w:line="278" w:before="0" w:after="160"/>
        <w:jc w:val="both"/>
        <w:rPr>
          <w:rFonts w:ascii="Arial" w:hAnsi="Arial" w:eastAsia="Times New Roman" w:cs="Arial"/>
          <w:b w:val="false"/>
          <w:bCs w:val="false"/>
          <w:color w:val="auto"/>
          <w:sz w:val="20"/>
          <w:szCs w:val="20"/>
          <w:lang w:eastAsia="cs-CZ"/>
        </w:rPr>
      </w:pPr>
      <w:r>
        <w:rPr>
          <w:rFonts w:eastAsia="Times New Roman" w:cs="Arial" w:ascii="Arial" w:hAnsi="Arial"/>
          <w:b w:val="false"/>
          <w:bCs w:val="false"/>
          <w:color w:val="auto"/>
          <w:sz w:val="20"/>
          <w:szCs w:val="20"/>
          <w:lang w:eastAsia="cs-CZ"/>
        </w:rPr>
        <w:t xml:space="preserve">Současný zákon poskytuje fakultám silné institucionální postavení. Tento model odpovídal tradičnímu pojetí univerzity založenému především na fakultní struktuře, méně však reflektuje současný rozvoj interdisciplinárních pracovišť, výzkumných center nebo společných vzdělávacích aktivit. Právní úprava proto nemusí dostatečně podporovat vznik organizačních struktur odpovídajících současným potřebám vzdělávání a výzkumu. </w:t>
      </w:r>
    </w:p>
    <w:p>
      <w:pPr>
        <w:pStyle w:val="Heading2"/>
        <w:spacing w:lineRule="auto" w:line="278" w:before="0" w:after="160"/>
        <w:jc w:val="both"/>
        <w:rPr>
          <w:rFonts w:ascii="Arial" w:hAnsi="Arial" w:eastAsia="Times New Roman" w:cs="Arial"/>
          <w:b w:val="false"/>
          <w:bCs w:val="false"/>
          <w:color w:val="auto"/>
          <w:sz w:val="20"/>
          <w:szCs w:val="20"/>
          <w:lang w:eastAsia="cs-CZ"/>
        </w:rPr>
      </w:pPr>
      <w:r>
        <w:rPr>
          <w:rFonts w:eastAsia="Times New Roman" w:cs="Arial" w:ascii="Arial" w:hAnsi="Arial"/>
          <w:b w:val="false"/>
          <w:bCs w:val="false"/>
          <w:color w:val="auto"/>
          <w:sz w:val="20"/>
          <w:szCs w:val="20"/>
          <w:lang w:eastAsia="cs-CZ"/>
        </w:rPr>
        <w:t>Akademický senát veřejné vysoké školy</w:t>
      </w:r>
    </w:p>
    <w:p>
      <w:pPr>
        <w:pStyle w:val="Normal"/>
        <w:jc w:val="both"/>
        <w:rPr>
          <w:lang w:eastAsia="cs-CZ"/>
        </w:rPr>
      </w:pPr>
      <w:r>
        <w:rPr>
          <w:lang w:eastAsia="cs-CZ"/>
        </w:rPr>
        <w:t>Akademický senát tak, jak je vymezen v zákoně, je primárně orgánem reprezentace akademické obce a výkonu akademické samosprávy. Současná právní úprava mu však svěřuje také významné pravomoci zasahující do strategického řízení vysoké školy. V důsledku toho dochází ke stírání hranic mezi funkcí reprezentace akademické obce a výkonem strategických rozhodovacích pravomocí, což oslabuje transparentní rozdělení kompetencí a odpovědností mezi jednotlivé orgány vysoké školy. Současné vymezení působnosti akademického senátu tak nevytváří vždy jednoznačnou vazbu mezi rozhodovacími pravomocemi a odpovědností za výsledky přijatých rozhodnutí, což může komplikovat strategické řízení vysoké školy a zpomalovat rozhodovací procesy.</w:t>
      </w:r>
    </w:p>
    <w:p>
      <w:pPr>
        <w:pStyle w:val="Normal"/>
        <w:jc w:val="both"/>
        <w:rPr>
          <w:lang w:eastAsia="cs-CZ"/>
        </w:rPr>
      </w:pPr>
      <w:r>
        <w:rPr>
          <w:lang w:eastAsia="cs-CZ"/>
        </w:rPr>
      </w:r>
    </w:p>
    <w:p>
      <w:pPr>
        <w:pStyle w:val="Normal"/>
        <w:numPr>
          <w:ilvl w:val="0"/>
          <w:numId w:val="0"/>
        </w:numPr>
        <w:spacing w:lineRule="auto" w:line="278" w:before="0" w:after="160"/>
        <w:jc w:val="both"/>
        <w:outlineLvl w:val="1"/>
        <w:rPr>
          <w:rFonts w:eastAsia="Times New Roman" w:cs="Arial"/>
          <w:lang w:eastAsia="cs-CZ"/>
        </w:rPr>
      </w:pPr>
      <w:r>
        <w:rPr>
          <w:rFonts w:eastAsia="Times New Roman" w:cs="Arial"/>
          <w:lang w:eastAsia="cs-CZ"/>
        </w:rPr>
        <w:t>Rektor</w:t>
      </w:r>
    </w:p>
    <w:p>
      <w:pPr>
        <w:pStyle w:val="Normal"/>
        <w:numPr>
          <w:ilvl w:val="0"/>
          <w:numId w:val="0"/>
        </w:numPr>
        <w:spacing w:lineRule="auto" w:line="278" w:before="0" w:after="160"/>
        <w:jc w:val="both"/>
        <w:outlineLvl w:val="1"/>
        <w:rPr>
          <w:rFonts w:eastAsia="Times New Roman" w:cs="Arial"/>
          <w:lang w:eastAsia="cs-CZ"/>
        </w:rPr>
      </w:pPr>
      <w:r>
        <w:rPr>
          <w:rFonts w:eastAsia="Times New Roman" w:cs="Arial"/>
          <w:lang w:eastAsia="cs-CZ"/>
        </w:rPr>
        <w:t>Rektor je podle současné právní úpravy statutárním orgánem vysoké školy, odpovídá za její řízení a hospodaření a nese odpovědnost za výsledky instituce jako celku. Výkon této odpovědnosti je však omezen rozsahem pravomocí svěřených fakultám a postavením dalších orgánů podílejících se na přijímání klíčových rozhodnutí. Současná právní úprava je přitom založena spíše na koordinaci jednotlivých součástí vysoké školy než na aktivním řízení instituce jako integrovaného celku. V důsledku toho nemusí být vždy zajištěn odpovídající soulad mezi odpovědností rektora za dosažené výsledky a jeho možnostmi strategicky ovlivňovat personální politiku, rozvoj studijních programů, systém zajišťování kvality či naplňování dlouhodobých rozvojových priorit vysoké školy.</w:t>
      </w:r>
    </w:p>
    <w:p>
      <w:pPr>
        <w:pStyle w:val="Normal"/>
        <w:numPr>
          <w:ilvl w:val="0"/>
          <w:numId w:val="0"/>
        </w:numPr>
        <w:spacing w:lineRule="auto" w:line="278" w:before="0" w:after="160"/>
        <w:jc w:val="both"/>
        <w:outlineLvl w:val="1"/>
        <w:rPr>
          <w:rFonts w:eastAsia="Times New Roman" w:cs="Arial"/>
          <w:lang w:eastAsia="cs-CZ"/>
        </w:rPr>
      </w:pPr>
      <w:r>
        <w:rPr>
          <w:rFonts w:eastAsia="Times New Roman" w:cs="Arial"/>
          <w:lang w:eastAsia="cs-CZ"/>
        </w:rPr>
        <w:t>Vědecká rada</w:t>
      </w:r>
    </w:p>
    <w:p>
      <w:pPr>
        <w:pStyle w:val="Normal"/>
        <w:spacing w:lineRule="auto" w:line="278" w:before="0" w:after="160"/>
        <w:jc w:val="both"/>
        <w:rPr>
          <w:rFonts w:eastAsia="Times New Roman" w:cs="Arial"/>
          <w:lang w:eastAsia="cs-CZ"/>
        </w:rPr>
      </w:pPr>
      <w:r>
        <w:rPr>
          <w:rFonts w:eastAsia="Times New Roman" w:cs="Arial"/>
          <w:lang w:eastAsia="cs-CZ"/>
        </w:rPr>
        <w:t>Vědecké rady vznikaly primárně jako orgány zaměřené na habilitační a profesorská řízení. Současné vysoké školy však řeší širší otázky kvality, rozvoje akademických kariér, internacionalizace či strategického rozvoje výzkumu. Současné zákonné vymezení proto nemusí plně odpovídat rozsahu témat, která dnes vyžadují odborné posuzování a dlouhodobou koncepční práci. Zákon předpokládá relativně jednotný model odborného orgánu, aniž by vysokým školám umožňoval výrazněji přizpůsobit jeho působnost vlastním potřebám. Současné vysoké školy se z hlediska svého poslání, velikosti, studijní nabídky, výzkumného zaměření i postavení v systému vysokého školství významně liší, přičemž tato rozmanitost je výrazně větší než v době přijetí současného zákona.</w:t>
      </w:r>
    </w:p>
    <w:p>
      <w:pPr>
        <w:pStyle w:val="Normal"/>
        <w:numPr>
          <w:ilvl w:val="0"/>
          <w:numId w:val="0"/>
        </w:numPr>
        <w:spacing w:lineRule="auto" w:line="278" w:before="0" w:after="160"/>
        <w:jc w:val="both"/>
        <w:outlineLvl w:val="1"/>
        <w:rPr>
          <w:rFonts w:eastAsia="Times New Roman" w:cs="Arial"/>
          <w:lang w:eastAsia="cs-CZ"/>
        </w:rPr>
      </w:pPr>
      <w:r>
        <w:rPr>
          <w:rFonts w:eastAsia="Times New Roman" w:cs="Arial"/>
          <w:lang w:eastAsia="cs-CZ"/>
        </w:rPr>
        <w:t>Rada pro vnitřní hodnocení</w:t>
      </w:r>
    </w:p>
    <w:p>
      <w:pPr>
        <w:pStyle w:val="Normal"/>
        <w:numPr>
          <w:ilvl w:val="0"/>
          <w:numId w:val="0"/>
        </w:numPr>
        <w:spacing w:lineRule="auto" w:line="278" w:before="0" w:after="160"/>
        <w:jc w:val="both"/>
        <w:outlineLvl w:val="1"/>
        <w:rPr>
          <w:rFonts w:eastAsia="Times New Roman" w:cs="Arial"/>
          <w:lang w:eastAsia="cs-CZ"/>
        </w:rPr>
      </w:pPr>
      <w:r>
        <w:rPr>
          <w:rFonts w:eastAsia="Times New Roman" w:cs="Arial"/>
          <w:lang w:eastAsia="cs-CZ"/>
        </w:rPr>
        <w:t>Po legislativním zavedení institucionálních akreditací vznikl vedle vědeckých rad nový orgán odpovědný za oblast kvality. Současné rozdělení působnosti mezi vědeckou radu, radu pro vnitřní hodnocení, rektora a další orgány však není vždy dostatečně přehledné a může vést ke složitějším rozhodovacím procesům a vyšší administrativní náročnosti. Přestože se význam zajišťování kvality od přijetí současné právní úpravy výrazně zvýšil a kvalita se stala jedním z hlavních nástrojů strategického řízení vysokých škol, současný systém ji stále do značné míry odděluje od klíčových řídicích a rozhodovacích procesů. Odpovědnost za kvalitu je tak v některých případech rozptýlena mezi více orgánů a není vždy jednoznačně propojena s odpovědností vedení vysoké školy za výsledky její činnosti.</w:t>
      </w:r>
    </w:p>
    <w:p>
      <w:pPr>
        <w:pStyle w:val="Normal"/>
        <w:numPr>
          <w:ilvl w:val="0"/>
          <w:numId w:val="0"/>
        </w:numPr>
        <w:spacing w:lineRule="auto" w:line="278" w:before="0" w:after="160"/>
        <w:jc w:val="both"/>
        <w:outlineLvl w:val="1"/>
        <w:rPr>
          <w:rFonts w:eastAsia="Times New Roman" w:cs="Arial"/>
          <w:lang w:eastAsia="cs-CZ"/>
        </w:rPr>
      </w:pPr>
      <w:r>
        <w:rPr>
          <w:rFonts w:eastAsia="Times New Roman" w:cs="Arial"/>
          <w:lang w:eastAsia="cs-CZ"/>
        </w:rPr>
        <w:t>Správní rada</w:t>
      </w:r>
    </w:p>
    <w:p>
      <w:pPr>
        <w:pStyle w:val="Normal"/>
        <w:spacing w:lineRule="auto" w:line="278" w:before="0" w:after="160"/>
        <w:jc w:val="both"/>
        <w:rPr>
          <w:rFonts w:eastAsia="Times New Roman" w:cs="Arial"/>
          <w:lang w:eastAsia="cs-CZ"/>
        </w:rPr>
      </w:pPr>
      <w:r>
        <w:rPr>
          <w:rFonts w:eastAsia="Times New Roman" w:cs="Arial"/>
          <w:lang w:eastAsia="cs-CZ"/>
        </w:rPr>
        <w:t xml:space="preserve">Správní rada má v současnosti převážně kontrolní působnost a působnost v majetkových záležitostech. Její zapojení do strategického rozvoje vysoké školy je omezené, přestože právě tento orgán představuje hlavní institucionální propojení vysoké školy s veřejným zájmem a vnějším prostředím. Současné vymezení tak nevyužívá plně potenciál externích odborníků a osobností zastoupených v tomto orgánu. Řada rozhodovacích procesů probíhá mimo správní radu a její role bývá často vnímána především jako následná kontrola již připravených návrhů. To omezuje její schopnost aktivně přispívat k dlouhodobému rozvoji instituce. </w:t>
      </w:r>
    </w:p>
    <w:p>
      <w:pPr>
        <w:pStyle w:val="Normal"/>
        <w:numPr>
          <w:ilvl w:val="0"/>
          <w:numId w:val="0"/>
        </w:numPr>
        <w:spacing w:lineRule="auto" w:line="278" w:before="0" w:after="160"/>
        <w:jc w:val="both"/>
        <w:outlineLvl w:val="1"/>
        <w:rPr>
          <w:rFonts w:eastAsia="Times New Roman" w:cs="Arial"/>
          <w:lang w:eastAsia="cs-CZ"/>
        </w:rPr>
      </w:pPr>
      <w:r>
        <w:rPr>
          <w:rFonts w:eastAsia="Times New Roman" w:cs="Arial"/>
          <w:lang w:eastAsia="cs-CZ"/>
        </w:rPr>
        <w:t>Akademický senát fakulty</w:t>
      </w:r>
    </w:p>
    <w:p>
      <w:pPr>
        <w:pStyle w:val="Normal"/>
        <w:spacing w:lineRule="auto" w:line="278" w:before="0" w:after="160"/>
        <w:jc w:val="both"/>
        <w:rPr>
          <w:rFonts w:eastAsia="Times New Roman" w:cs="Arial"/>
          <w:lang w:eastAsia="cs-CZ"/>
        </w:rPr>
      </w:pPr>
      <w:r>
        <w:rPr>
          <w:rFonts w:eastAsia="Times New Roman" w:cs="Arial"/>
          <w:lang w:eastAsia="cs-CZ"/>
        </w:rPr>
        <w:t xml:space="preserve">Fakultní akademické senáty vykonávají obdobné funkce jako celoškolské akademické senáty vysokých škol. Tento systém posiluje akademickou samosprávu, současně však vytváří víceúrovňovou rozhodovací strukturu, která může prodlužovat rozhodovací procesy a komplikovat prosazování celouniverzitních priorit. </w:t>
      </w:r>
    </w:p>
    <w:p>
      <w:pPr>
        <w:pStyle w:val="Normal"/>
        <w:numPr>
          <w:ilvl w:val="0"/>
          <w:numId w:val="0"/>
        </w:numPr>
        <w:spacing w:lineRule="auto" w:line="278" w:before="0" w:after="160"/>
        <w:jc w:val="both"/>
        <w:outlineLvl w:val="1"/>
        <w:rPr>
          <w:rFonts w:eastAsia="Times New Roman" w:cs="Arial"/>
          <w:lang w:eastAsia="cs-CZ"/>
        </w:rPr>
      </w:pPr>
      <w:r>
        <w:rPr>
          <w:rFonts w:eastAsia="Times New Roman" w:cs="Arial"/>
          <w:lang w:eastAsia="cs-CZ"/>
        </w:rPr>
        <w:t>Děkan</w:t>
      </w:r>
    </w:p>
    <w:p>
      <w:pPr>
        <w:pStyle w:val="Normal"/>
        <w:numPr>
          <w:ilvl w:val="0"/>
          <w:numId w:val="0"/>
        </w:numPr>
        <w:spacing w:lineRule="auto" w:line="278" w:before="0" w:after="160"/>
        <w:jc w:val="both"/>
        <w:outlineLvl w:val="1"/>
        <w:rPr>
          <w:rFonts w:eastAsia="Times New Roman" w:cs="Arial"/>
          <w:lang w:eastAsia="cs-CZ"/>
        </w:rPr>
      </w:pPr>
      <w:r>
        <w:rPr>
          <w:rFonts w:eastAsia="Times New Roman" w:cs="Arial"/>
          <w:lang w:eastAsia="cs-CZ"/>
        </w:rPr>
        <w:t>Děkan odpovídá za rozvoj a fungování fakulty a za výkon působnosti svěřené fakultě zákonem nebo vnitřními předpisy vysoké školy. Současná právní úprava však pouze omezeně propojuje odpovědnost děkana za výsledky fakulty s odpovědností vedení vysoké školy za naplňování strategických cílů na úrovni celé vysoké školy. V důsledku vysoké míry autonomie fakult mohou mezi prioritami jednotlivých fakult a strategickým směřováním vysoké školy vznikat rozdíly, pro jejichž koordinaci současný zákon neposkytuje vždy dostatečně účinné nástroje. To může komplikovat realizaci společných rozvojových priorit vysoké školy, koordinaci personální politiky i efektivní řízení a rozvoj studijních programů.</w:t>
      </w:r>
    </w:p>
    <w:p>
      <w:pPr>
        <w:pStyle w:val="Normal"/>
        <w:shd w:val="clear" w:color="auto" w:fill="95B3D7" w:themeFill="accent1" w:themeFillTint="99"/>
        <w:spacing w:lineRule="auto" w:line="278" w:before="0" w:after="160"/>
        <w:ind w:start="-11"/>
        <w:jc w:val="both"/>
        <w:rPr>
          <w:rFonts w:cs="Arial"/>
          <w:b/>
        </w:rPr>
      </w:pPr>
      <w:bookmarkStart w:id="0" w:name="_Toc16578393"/>
      <w:r>
        <w:rPr>
          <w:rFonts w:cs="Arial"/>
          <w:b/>
        </w:rPr>
        <w:t>3.2 Hospodaření veřejných vysokých škol a jejich financování</w:t>
      </w:r>
    </w:p>
    <w:p>
      <w:pPr>
        <w:pStyle w:val="Normal"/>
        <w:spacing w:lineRule="auto" w:line="278" w:before="0" w:after="160"/>
        <w:ind w:start="-11"/>
        <w:jc w:val="both"/>
        <w:rPr>
          <w:rFonts w:cs="Arial"/>
          <w:bCs/>
        </w:rPr>
      </w:pPr>
      <w:r>
        <w:rPr>
          <w:rFonts w:cs="Arial"/>
          <w:bCs/>
        </w:rPr>
        <w:t>Současná právní úprava financování vysokých škol vychází z podmínek a potřeb sektoru na přelomu 20. a 21. století a již dostatečně nereflektuje současné požadavky na strategické řízení, dlouhodobé plánování a finanční stabilitu vysokých škol. Vysoké školy se vedle své vzdělávací a tvůrčí činnosti staly významnými institucemi spravujícími rozsáhlý majetek, realizujícími dlouhodobé investice a zapojenými do mezinárodních výzkumných a vzdělávacích projektů. Současný právní rámec jim však neposkytuje odpovídající nástroje pro efektivní finanční řízení a rozvoj.</w:t>
      </w:r>
    </w:p>
    <w:p>
      <w:pPr>
        <w:pStyle w:val="Normal"/>
        <w:spacing w:lineRule="auto" w:line="278" w:before="0" w:after="160"/>
        <w:ind w:start="-11"/>
        <w:jc w:val="both"/>
        <w:rPr>
          <w:rFonts w:cs="Arial"/>
          <w:bCs/>
        </w:rPr>
      </w:pPr>
      <w:r>
        <w:rPr>
          <w:rFonts w:cs="Arial"/>
          <w:bCs/>
        </w:rPr>
        <w:t>Jedním z problémů je nedostatečné legislativní ukotvení smluvního financování vysokých škol. Přestože se v praxi využívají dlouhodobé strategické dohody mezi státem a vysokými školami zaměřené na plnění priorit veřejné politiky (např. programy na podporu specifických studijních programů), stávající právní úprava tento nástroj dostatečně nedefinuje, nestanovuje jeho základní parametry ani jasně nevymezuje práva a povinnosti jednotlivých aktérů. V důsledku toho není plně využit potenciál kontraktového financování jako nástroje podporujícího dlouhodobý rozvoj vysokých škol, jejich strategické řízení, prosazování národních potřeb a předvídatelnost financování. Současný systém je nadále založen převážně na každoročním rozdělování prostředků, což omezuje možnost plánovat rozsáhlejší rozvojové aktivity a investice s delším časovým horizontem.</w:t>
      </w:r>
    </w:p>
    <w:p>
      <w:pPr>
        <w:pStyle w:val="Normal"/>
        <w:spacing w:lineRule="auto" w:line="278" w:before="0" w:after="160"/>
        <w:ind w:start="-11"/>
        <w:jc w:val="both"/>
        <w:rPr>
          <w:rFonts w:cs="Arial"/>
          <w:bCs/>
        </w:rPr>
      </w:pPr>
      <w:r>
        <w:rPr>
          <w:rFonts w:cs="Arial"/>
          <w:bCs/>
        </w:rPr>
        <w:t>Za nevyhovující lze považovat také současnou právní úpravu fondů vysokých škol. Stávající systém zahrnuje několik druhů fondů s rozdílnými pravidly tvorby a využití, která vznikala postupně v různých obdobích a za různých podmínek. Výsledkem je administrativně složitý a málo flexibilní systém, který zvyšuje regulatorní zátěž vysokých škol a omezuje jejich schopnost efektivně nakládat s vlastními finančními prostředky. Fragmentace finančních zdrojů mezi více fondů komplikuje strategické plánování a snižuje možnost reagovat na aktuální potřeby rozvoje instituce. Vhodné je proto vytvořit jednodušší a přehlednější systém fondového hospodaření, který zachová princip finanční odpovědnosti, ale současně poskytne vysokým školám větší flexibilitu při využívání vytvořených zdrojů.</w:t>
      </w:r>
    </w:p>
    <w:p>
      <w:pPr>
        <w:pStyle w:val="Normal"/>
        <w:spacing w:lineRule="auto" w:line="278" w:before="0" w:after="160"/>
        <w:ind w:start="-11"/>
        <w:jc w:val="both"/>
        <w:rPr>
          <w:rFonts w:cs="Arial"/>
          <w:bCs/>
        </w:rPr>
      </w:pPr>
      <w:r>
        <w:rPr>
          <w:rFonts w:cs="Arial"/>
          <w:bCs/>
        </w:rPr>
        <w:t>Současná právní úprava pouze omezeně vytváří podmínky pro dlouhodobé a strategicky orientované řízení investičního rozvoje vysokých škol. Přestože vysoké školy disponují významnými vlastními prostředky a vytvářejí finanční rezervy, zákon jim poskytuje pouze omezený rámec pro jejich zhodnocování a využívání při financování rozvojových aktivit. Právní úprava současně jen v omezené míře umožňuje využívat externí zdroje financování, zejména úvěrové nástroje, pro realizaci rozsáhlejších investičních projektů. To může komplikovat financování dlouhodobých investic do infrastruktury, modernizaci kampusů, výzkumných kapacit, kolejí nebo dalších strategických rozvojových projektů. Přezkum proto identifikoval potřebu vytvořit transparentní a předvídatelný rámec pro využívání finančních nástrojů a externích zdrojů financování při současném zachování principů obezřetnosti, finanční stability a odpovědného hospodaření.</w:t>
      </w:r>
    </w:p>
    <w:p>
      <w:pPr>
        <w:pStyle w:val="Normal"/>
        <w:spacing w:lineRule="auto" w:line="278" w:before="0" w:after="160"/>
        <w:ind w:start="-11"/>
        <w:jc w:val="both"/>
        <w:rPr>
          <w:rFonts w:cs="Arial"/>
          <w:bCs/>
        </w:rPr>
      </w:pPr>
      <w:r>
        <w:rPr>
          <w:rFonts w:cs="Arial"/>
          <w:bCs/>
        </w:rPr>
        <w:t>Stávající právní úprava financování vysokých škol tak neposkytuje dostatečnou podporu dlouhodobému strategickému řízení institucí, efektivnímu hospodaření s vlastními prostředky ani financování jejich budoucího rozvoje. Nová právní úprava by proto měla posílit význam víceletého smluvního financování, zjednodušit systém fondů vysokých škol, vytvořit jasný rámec pro investování volných prostředků a zakotvit transparentní podmínky pro využívání úvěrového financování. Tím by došlo ke zvýšení finanční autonomie vysokých škol, lepšímu využívání veřejných prostředků a posílení schopnosti vysokých škol dlouhodobě plánovat svůj rozvoj.</w:t>
      </w:r>
      <w:bookmarkEnd w:id="0"/>
    </w:p>
    <w:p>
      <w:pPr>
        <w:pStyle w:val="Normal"/>
        <w:shd w:val="clear" w:color="auto" w:fill="95B3D7" w:themeFill="accent1" w:themeFillTint="99"/>
        <w:spacing w:lineRule="auto" w:line="278" w:before="0" w:after="160"/>
        <w:jc w:val="both"/>
        <w:rPr>
          <w:rFonts w:cs="Arial"/>
          <w:b/>
          <w:bCs/>
        </w:rPr>
      </w:pPr>
      <w:r>
        <w:rPr>
          <w:rFonts w:cs="Arial"/>
          <w:b/>
          <w:bCs/>
        </w:rPr>
        <w:t>3.3 Akademické kariéry</w:t>
      </w:r>
    </w:p>
    <w:p>
      <w:pPr>
        <w:pStyle w:val="Normal"/>
        <w:spacing w:lineRule="auto" w:line="278" w:before="0" w:after="160"/>
        <w:jc w:val="both"/>
        <w:rPr>
          <w:rFonts w:cs="Arial"/>
          <w:lang w:eastAsia="cs-CZ"/>
        </w:rPr>
      </w:pPr>
      <w:r>
        <w:rPr>
          <w:rFonts w:cs="Arial"/>
          <w:lang w:eastAsia="cs-CZ"/>
        </w:rPr>
        <w:t>V roce 2026 publikovaná studie Academic Staff in Europe – 2025, která mapuje systémy akademických kariér na vysokých školách v zemích EU poukazuje na to, že akademická profese v Evropě prochází významnými změnami souvisejícími s internacionalizací, rozšiřováním rolí akademických pracovníků a rostoucím důrazem na kvalitu výuky vedle výzkumné činnosti. V případě České republiky identifikuje potřebu vytvářet atraktivnější, transparentnější a udržitelnější akademické kariéry, které budou podporovat profesní rozvoj akademických pracovníků, mezinárodní mobilitu, generační obnovu akademické obce a vyvážené hodnocení všech složek akademické práce. Současně evropské trendy zdůrazňují význam jasně definovaných kariérních drah, stabilních pracovních podmínek a většího uznávání pedagogické činnosti, vedení studentů, spolupráce s praxí a společenského přínosu vysokých škol.</w:t>
      </w:r>
    </w:p>
    <w:p>
      <w:pPr>
        <w:pStyle w:val="Normal"/>
        <w:spacing w:lineRule="auto" w:line="278" w:before="0" w:after="160"/>
        <w:jc w:val="both"/>
        <w:rPr>
          <w:rFonts w:cs="Arial"/>
          <w:lang w:eastAsia="cs-CZ"/>
        </w:rPr>
      </w:pPr>
      <w:r>
        <w:rPr>
          <w:rFonts w:cs="Arial"/>
          <w:lang w:eastAsia="cs-CZ"/>
        </w:rPr>
        <w:t>Současná právní úprava řízení lidských zdrojů na vysokých školách je obsažena zejména v § 70 až § 74c zákona o vysokých školách. Tato úprava však již neodpovídá současným požadavkům na strategické řízení akademických kariér ani moderním trendům v oblasti personální politiky vysokých škol. Zatímco evropské i národní politiky stále více zdůrazňují význam dlouhodobého rozvoje akademických pracovníků, podpory talentů, mezinárodní mobility, otevřeného náboru, průběžného hodnocení a diverzifikace akademických rolí, stávající zákonná úprava je zaměřena především na kvalifikační postupy spojené s habilitačními řízeními a řízeními ke jmenování profesorem.</w:t>
      </w:r>
    </w:p>
    <w:p>
      <w:pPr>
        <w:pStyle w:val="Normal"/>
        <w:spacing w:lineRule="auto" w:line="278" w:before="0" w:after="160"/>
        <w:jc w:val="both"/>
        <w:rPr>
          <w:rFonts w:cs="Arial"/>
          <w:lang w:eastAsia="cs-CZ"/>
        </w:rPr>
      </w:pPr>
      <w:r>
        <w:rPr>
          <w:rFonts w:cs="Arial"/>
          <w:lang w:eastAsia="cs-CZ"/>
        </w:rPr>
        <w:t>Významná část ustanovení § 72 až § 74c upravuje zejména organizační, procedurální a administrativní aspekty habilitačních řízení a řízení ke jmenování profesorem. Podrobně jsou regulovány náležitosti návrhů, složení komisí, průběh řízení, hlasování vědeckých rad a další procesní otázky. Naproti tomu zákon věnuje pouze omezenou pozornost samotnému rozvoji akademických pracovníků, kariérním drahám, hodnocení výkonu, profesnímu růstu nebo nástrojům strategického plánování lidských zdrojů. Těžiště právní úpravy tak spočívá především v regulaci kvalifikačních procedur, nikoliv v řízení akademických kariér jako jednoho z klíčových předpokladů kvality vysokého školství.</w:t>
      </w:r>
    </w:p>
    <w:p>
      <w:pPr>
        <w:pStyle w:val="Normal"/>
        <w:spacing w:lineRule="auto" w:line="278" w:before="0" w:after="160"/>
        <w:jc w:val="both"/>
        <w:rPr>
          <w:rFonts w:cs="Arial"/>
          <w:lang w:eastAsia="cs-CZ"/>
        </w:rPr>
      </w:pPr>
      <w:r>
        <w:rPr>
          <w:rFonts w:cs="Arial"/>
          <w:lang w:eastAsia="cs-CZ"/>
        </w:rPr>
        <w:t>Současná právní úprava zároveň implicitně vychází z tradičního lineárního modelu akademické kariéry, jehož vrcholem jsou habilitace a jmenování profesorem. Moderní vysoké školství však stále více pracuje s rozmanitými kariérními drahami, které mohou být založeny nejen na vědecké excelenci, ale také na kvalitě vzdělávací činnosti, vedení studijních programů, transferu znalostí, spolupráci s praxí, internacionalizaci, rozvoji celoživotního vzdělávání nebo institucionálním managementu. Stávající právní úprava těmto různorodým kariérním profilům neposkytuje odpovídající prostor a zachovává důraz především na tradiční akademické kvalifikační stupně.</w:t>
      </w:r>
    </w:p>
    <w:p>
      <w:pPr>
        <w:pStyle w:val="Normal"/>
        <w:spacing w:lineRule="auto" w:line="278" w:before="0" w:after="160"/>
        <w:jc w:val="both"/>
        <w:rPr>
          <w:rFonts w:cs="Arial"/>
          <w:lang w:eastAsia="cs-CZ"/>
        </w:rPr>
      </w:pPr>
      <w:r>
        <w:rPr>
          <w:rFonts w:cs="Arial"/>
          <w:lang w:eastAsia="cs-CZ"/>
        </w:rPr>
        <w:t>Nedostatečná je rovněž flexibilita při vymezování samotné činnosti akademických pracovníků. Podle § 70 zákona o vysokých školách jsou akademičtí pracovníci definováni především prostřednictvím vzdělávací a tvůrčí činnosti. Takové vymezení odpovídá tradičnímu pojetí vysoké školy, avšak méně reflektuje současnou diverzifikaci institucí i rostoucí rozmanitost akademických rolí. Vysoké školy dnes potřebují vytvářet pozice zaměřené například na rozvoj kvality vzdělávání, podporu studentů, internacionalizaci, řízení výzkumných infrastruktur, profesně zaměřené vzdělávání, spolupráci se zaměstnavateli nebo rozvoj celoživotního vzdělávání. Současný zákon přitom neposkytuje dostatečně flexibilní rámec umožňující různou kombinaci těchto činností podle poslání konkrétní instituce a pracovního zařazení akademického pracovníka.</w:t>
      </w:r>
    </w:p>
    <w:p>
      <w:pPr>
        <w:pStyle w:val="Normal"/>
        <w:spacing w:lineRule="auto" w:line="278" w:before="0" w:after="160"/>
        <w:jc w:val="both"/>
        <w:rPr>
          <w:rFonts w:cs="Arial"/>
          <w:lang w:eastAsia="cs-CZ"/>
        </w:rPr>
      </w:pPr>
      <w:r>
        <w:rPr>
          <w:rFonts w:cs="Arial"/>
          <w:lang w:eastAsia="cs-CZ"/>
        </w:rPr>
        <w:t>Současný zákon nevytváří dostatečný rámec pro strategické řízení akademických kariér a rozvoj lidských zdrojů na vysokých školách. Řadu klíčových aspektů personální politiky, včetně profesního rozvoje, hodnocení pracovníků a plánování kariérních drah, ponechává na úrovni jednotlivých institucí bez společného rámce odpovídajícího jejich významu pro kvalitu vzdělávací a tvůrčí činnosti. Současně pouze omezeně podporuje propojení personální politiky se strategickým řízením vysoké školy a se systémem zajišťování kvality.</w:t>
      </w:r>
    </w:p>
    <w:p>
      <w:pPr>
        <w:pStyle w:val="Normal"/>
        <w:spacing w:lineRule="auto" w:line="278" w:before="0" w:after="160"/>
        <w:jc w:val="both"/>
        <w:rPr>
          <w:rFonts w:cs="Arial"/>
          <w:lang w:eastAsia="cs-CZ"/>
        </w:rPr>
      </w:pPr>
      <w:r>
        <w:rPr>
          <w:rFonts w:cs="Arial"/>
          <w:lang w:eastAsia="cs-CZ"/>
        </w:rPr>
        <w:t>České vysoké školství se zároveň dlouhodobě potýká s nízkou mobilitou akademických pracovníků, přetrvávajícím akademickým inbreedingem a omezenou otevřeností akademických kariér vůči uchazečům z jiných institucí, ze zahraničí nebo z praxe. Tyto problémy se projevují nízkým podílem zahraničních akademických pracovníků a osob s významnou mezinárodní zkušeností, omezenou kompatibilitou českého systému akademických kariér se zahraničními modely a nedostatečně konkurenčním prostředím při obsazování akademických pozic.</w:t>
      </w:r>
    </w:p>
    <w:p>
      <w:pPr>
        <w:pStyle w:val="Normal"/>
        <w:spacing w:lineRule="auto" w:line="278" w:before="0" w:after="160"/>
        <w:jc w:val="both"/>
        <w:rPr>
          <w:rFonts w:cs="Arial"/>
          <w:lang w:eastAsia="cs-CZ"/>
        </w:rPr>
      </w:pPr>
      <w:r>
        <w:rPr>
          <w:rFonts w:cs="Arial"/>
          <w:lang w:eastAsia="cs-CZ"/>
        </w:rPr>
        <w:t>Přezkum dále identifikoval vysokou míru pracovněprávní nejistoty zejména v počátečních fázích akademické kariéry. U juniorních akademických pracovníků převažují pracovní poměry na dobu určitou a pravidla kariérního postupu bývají často nepřehledná, což snižuje atraktivitu akademické dráhy a komplikuje získávání a udržení talentovaných pracovníků. Současně přetrvávají nedostatky v oblasti odměňování, kde vysoký podíl nenárokových složek mzdy může vést k významným rozdílům v odměňování bez dostatečně transparentní vazby na hodnocení pracovního výkonu.</w:t>
      </w:r>
    </w:p>
    <w:p>
      <w:pPr>
        <w:pStyle w:val="Normal"/>
        <w:spacing w:lineRule="auto" w:line="278" w:before="0" w:after="160"/>
        <w:jc w:val="both"/>
        <w:rPr>
          <w:rFonts w:cs="Arial"/>
          <w:lang w:eastAsia="cs-CZ"/>
        </w:rPr>
      </w:pPr>
      <w:r>
        <w:rPr>
          <w:rFonts w:cs="Arial"/>
          <w:lang w:eastAsia="cs-CZ"/>
        </w:rPr>
        <w:t>Současná právní úprava pouze velmi omezeně podporuje vytváření otevřeného, transparentního a mezinárodně konkurenceschopného systému akademických kariér, který by vysokým školám umožňoval systematicky rozvíjet lidské zdroje a efektivně naplňovat jejich strategické cíle. Mezi významné systémové nedostatky patří také absence jasného institucionálního ukotvení pozice postdoktorandů, které je v řadě zahraničních vysokoškolských systémů běžné. Současně přetrvává vysoká váha doživotně udělovaných hodností docentů a profesorů, a to jak při posuzování kvality vysokých škol a akreditacích studijních programů, tak v symbolické rovině. Vzhledem k rozdílům mezi institucemi, obory i obdobím, ve kterém byly uděleny, však tyto hodnosti poskytují pouze omezenou informaci o aktuální kvalitě akademické práce.</w:t>
      </w:r>
    </w:p>
    <w:p>
      <w:pPr>
        <w:pStyle w:val="Normal"/>
        <w:spacing w:lineRule="auto" w:line="278" w:before="0" w:after="160"/>
        <w:jc w:val="both"/>
        <w:rPr>
          <w:rFonts w:cs="Arial"/>
          <w:lang w:eastAsia="cs-CZ"/>
        </w:rPr>
      </w:pPr>
      <w:r>
        <w:rPr>
          <w:rFonts w:cs="Arial"/>
          <w:lang w:eastAsia="cs-CZ"/>
        </w:rPr>
        <w:t>Přestože řada vysokých škol postupně zavádí systémy pravidelného hodnocení akademických pracovníků, jejich podoba je velmi různorodá, implementace často formální a výsledky hodnocení mají dosud jen omezený dopad na kariérní postup, odměňování nebo profesní rozvoj pracovníků. Současně je třeba vytvořit podmínky pro větší zohlednění různých profesních profilů akademických pracovníků a umožnit diferencované kariérní dráhy reflektující zaměření na výzkum, výuku, akademické vedení či třetí roli vysokých škol. S tím souvisí i potřeba posílit možnosti kariérního růstu pracovníků orientovaných primárně na výuku a systematicky oceňovat i jiné formy odbornosti než pouze tradičně chápanou výzkumnou excelenci.</w:t>
      </w:r>
    </w:p>
    <w:p>
      <w:pPr>
        <w:pStyle w:val="Normal"/>
        <w:spacing w:lineRule="auto" w:line="278" w:before="0" w:after="160"/>
        <w:jc w:val="both"/>
        <w:rPr>
          <w:rFonts w:cs="Arial"/>
          <w:lang w:eastAsia="cs-CZ"/>
        </w:rPr>
      </w:pPr>
      <w:r>
        <w:rPr>
          <w:rFonts w:cs="Arial"/>
          <w:lang w:eastAsia="cs-CZ"/>
        </w:rPr>
        <w:t>Důležitou součástí moderní personální politiky vysokých škol musí být rovněž podpora rovných příležitostí. To zahrnuje zejména přiměřené zohlednění kariérních přestávek a dalších okolností ovlivňujících profesní dráhu akademických pracovníků, a to i s ohledem na přetrvávající podreprezentovanost žen na docentských a profesorských pozicích. Nedílnou součástí reformních snah je také posílení důrazu na akademickou integritu jako základní hodnotu akademického prostředí.</w:t>
      </w:r>
    </w:p>
    <w:p>
      <w:pPr>
        <w:pStyle w:val="Normal"/>
        <w:spacing w:lineRule="auto" w:line="278" w:before="0" w:after="160"/>
        <w:jc w:val="both"/>
        <w:rPr>
          <w:rFonts w:cs="Arial"/>
          <w:lang w:eastAsia="cs-CZ"/>
        </w:rPr>
      </w:pPr>
      <w:r>
        <w:rPr>
          <w:rFonts w:cs="Arial"/>
          <w:lang w:eastAsia="cs-CZ"/>
        </w:rPr>
        <w:t>Evropský kontext reformy akademických a výzkumných kariér</w:t>
      </w:r>
    </w:p>
    <w:p>
      <w:pPr>
        <w:pStyle w:val="Normal"/>
        <w:spacing w:lineRule="auto" w:line="278" w:before="0" w:after="160"/>
        <w:jc w:val="both"/>
        <w:rPr>
          <w:rFonts w:cs="Arial"/>
          <w:lang w:eastAsia="cs-CZ"/>
        </w:rPr>
      </w:pPr>
      <w:r>
        <w:rPr>
          <w:rFonts w:cs="Arial"/>
          <w:lang w:eastAsia="cs-CZ"/>
        </w:rPr>
        <w:t>Evropská komise a Rada Evropské unie dlouhodobě upozorňují, že kvalita vysokoškolského vzdělávání a výzkumu je bezprostředně závislá na schopnosti vysokých škol získávat, rozvíjet a udržet kvalitní akademické pracovníky. Současně identifikují řadu strukturálních problémů akademických kariér, mezi které patří nejistota pracovních podmínek v počátečních fázích kariéry, omezená transparentnost kariérního postupu, nedostatečná mobilita, nízká otevřenost mezinárodnímu náboru a nevyvážené hodnocení jednotlivých složek akademické práce.</w:t>
      </w:r>
    </w:p>
    <w:p>
      <w:pPr>
        <w:pStyle w:val="Normal"/>
        <w:spacing w:lineRule="auto" w:line="278" w:before="0" w:after="160"/>
        <w:jc w:val="both"/>
        <w:rPr>
          <w:rFonts w:cs="Arial"/>
          <w:lang w:eastAsia="cs-CZ"/>
        </w:rPr>
      </w:pPr>
      <w:r>
        <w:rPr>
          <w:rFonts w:cs="Arial"/>
          <w:lang w:eastAsia="cs-CZ"/>
        </w:rPr>
        <w:t>Evropské politiky proto směřují k vytváření atraktivního, otevřeného a udržitelného systému akademických kariér založeného na transparentních kariérních drahách, kvalitních pracovních podmínkách a otevřených výběrových řízeních. Současně zdůrazňují význam meziinstitucionální a mezinárodní mobility, prostupnosti mezi akademickým a neakademickým sektorem a uznávání profesních zkušeností získaných mimo vysoké školství.</w:t>
      </w:r>
    </w:p>
    <w:p>
      <w:pPr>
        <w:pStyle w:val="Normal"/>
        <w:spacing w:lineRule="auto" w:line="278" w:before="0" w:after="160"/>
        <w:jc w:val="both"/>
        <w:rPr>
          <w:rFonts w:cs="Arial"/>
          <w:lang w:eastAsia="cs-CZ"/>
        </w:rPr>
      </w:pPr>
      <w:r>
        <w:rPr>
          <w:rFonts w:cs="Arial"/>
          <w:lang w:eastAsia="cs-CZ"/>
        </w:rPr>
        <w:t>Významným trendem je také proměna přístupu k hodnocení akademických pracovníků. Vedle výzkumné činnosti je kladen důraz na kvalitu výuky, vedení studentů a týmů, institucionální rozvoj, mezinárodní spolupráci, transfer znalostí, spolupráci s praxí a společenský dopad činnosti vysokých škol. Hodnocení má sloužit nejen k posuzování výkonu, ale také jako nástroj profesního rozvoje a kariérního postupu.</w:t>
      </w:r>
    </w:p>
    <w:p>
      <w:pPr>
        <w:pStyle w:val="Normal"/>
        <w:spacing w:lineRule="auto" w:line="278" w:before="0" w:after="160"/>
        <w:jc w:val="both"/>
        <w:rPr>
          <w:rFonts w:cs="Arial"/>
          <w:lang w:eastAsia="cs-CZ"/>
        </w:rPr>
      </w:pPr>
      <w:r>
        <w:rPr>
          <w:rFonts w:cs="Arial"/>
          <w:lang w:eastAsia="cs-CZ"/>
        </w:rPr>
        <w:t>Evropský rámec současně zdůrazňuje význam rovných příležitostí, inkluzivního pracovního prostředí a podpory profesního rozvoje všech skupin zaměstnanců. Součástí moderních systémů akademických kariér je zohledňování kariérních přestávek, podpora slaďování pracovního a osobního života a vytváření podmínek pro plné využití talentu bez ohledu na rodinnou situaci či jiná osobní omezení.</w:t>
      </w:r>
    </w:p>
    <w:p>
      <w:pPr>
        <w:pStyle w:val="Normal"/>
        <w:spacing w:lineRule="auto" w:line="278" w:before="0" w:after="160"/>
        <w:jc w:val="both"/>
        <w:rPr>
          <w:rFonts w:cs="Arial"/>
          <w:lang w:eastAsia="cs-CZ"/>
        </w:rPr>
      </w:pPr>
      <w:r>
        <w:rPr>
          <w:rFonts w:cs="Arial"/>
          <w:lang w:eastAsia="cs-CZ"/>
        </w:rPr>
        <w:t>Nedílnou součástí evropského pojetí akademických kariér je rovněž celoživotní profesní rozvoj a rozšiřování kompetencí akademických pracovníků. Vedle odborné excelence je stále větší důraz kladen na rozvoj pedagogických kompetencí, schopnost vedení týmů, projektového řízení, mezioborové spolupráce, komunikace výsledků výzkumu a spolupráce s externími partnery. Moderní kariérní systémy proto podporují průběžný rozvoj těchto kompetencí a jejich odpovídající zohlednění při hodnocení a kariérním postupu.</w:t>
      </w:r>
    </w:p>
    <w:p>
      <w:pPr>
        <w:pStyle w:val="Normal"/>
        <w:spacing w:lineRule="auto" w:line="278" w:before="0" w:after="160"/>
        <w:jc w:val="both"/>
        <w:rPr>
          <w:rFonts w:cs="Arial"/>
          <w:lang w:eastAsia="cs-CZ"/>
        </w:rPr>
      </w:pPr>
      <w:r>
        <w:rPr>
          <w:rFonts w:cs="Arial"/>
          <w:lang w:eastAsia="cs-CZ"/>
        </w:rPr>
        <w:t>Celkově evropská agenda směřuje k transformaci akademických a výzkumných kariér z relativně uzavřeného a často rigidního systému směrem k modelu založenému na transparentnosti, mobilitě, diverzitě kariérních drah, kvalitním personálním řízení a důrazu na dlouhodobý profesní rozvoj. Hlavním cílem je vytvořit prostředí, které bude schopné přitahovat a udržet talentované pracovníky, posilovat mezinárodní konkurenceschopnost evropského vysokého školství a výzkumu a současně lépe zohledňovat rozmanitost činností, které akademičtí pracovníci vykonávají.</w:t>
      </w:r>
    </w:p>
    <w:p>
      <w:pPr>
        <w:pStyle w:val="Heading1"/>
        <w:shd w:val="clear" w:color="auto" w:fill="95B3D7" w:themeFill="accent1" w:themeFillTint="99"/>
        <w:spacing w:lineRule="auto" w:line="278" w:before="0" w:after="160"/>
        <w:jc w:val="both"/>
        <w:rPr>
          <w:rFonts w:ascii="Arial" w:hAnsi="Arial" w:cs="Arial"/>
          <w:color w:val="auto"/>
          <w:sz w:val="20"/>
          <w:szCs w:val="20"/>
        </w:rPr>
      </w:pPr>
      <w:r>
        <w:rPr>
          <w:rFonts w:cs="Arial" w:ascii="Arial" w:hAnsi="Arial"/>
          <w:color w:val="auto"/>
          <w:sz w:val="20"/>
          <w:szCs w:val="20"/>
        </w:rPr>
        <w:t>3.4 Zajišťování kvality a akreditace</w:t>
      </w:r>
    </w:p>
    <w:p>
      <w:pPr>
        <w:pStyle w:val="Normal"/>
        <w:spacing w:lineRule="auto" w:line="278" w:before="0" w:after="160"/>
        <w:jc w:val="both"/>
        <w:rPr>
          <w:rFonts w:cs="Arial"/>
        </w:rPr>
      </w:pPr>
      <w:r>
        <w:rPr>
          <w:rFonts w:cs="Arial"/>
        </w:rPr>
        <w:t>Současná právní úprava zajišťování kvality a akreditací studijních programů obsažená zejména v § 77b až § 82a zákona o vysokých školách vychází z modelu vytvořeného v době postupného zavádění institucionálních akreditací a posilování vnitřních systémů zajišťování kvality. Přestože tento model představoval významný krok směrem k větší autonomii vysokých škol, v současnosti již pouze částečně reflektuje vývoj Evropského prostoru vysokoškolského vzdělávání (European Higher Education Area, dále také „EHEA“), zejména rostoucí důraz na institucionální odpovědnost za kvalitu, mezinárodní spolupráci, společné studijní programy a principy zakotvené v Evropských standardech a směrnicích pro zajišťování kvality v Evropském prostoru vysokoškolského vzdělávání (The European Standards and Guidelines for Quality Assurance in the European Higher Education Area,dále také „ESG“).</w:t>
      </w:r>
    </w:p>
    <w:p>
      <w:pPr>
        <w:pStyle w:val="Normal"/>
        <w:spacing w:lineRule="auto" w:line="278" w:before="0" w:after="160"/>
        <w:jc w:val="both"/>
        <w:rPr>
          <w:rFonts w:cs="Arial"/>
        </w:rPr>
      </w:pPr>
      <w:r>
        <w:rPr>
          <w:rFonts w:cs="Arial"/>
        </w:rPr>
        <w:t>Současný model institucionální akreditace vymezený v § 81a až § 81d představuje pouze částečný přechod od programové akreditace k institucionální odpovědnosti za kvalitu. Přestože významně posílil autonomii vysokých škol a jejich odpovědnost za tvorbu a uskutečňování studijních programů, nadále vychází z principu, že oprávnění vysoké školy je vázáno na jednotlivé oblasti vzdělávání. Akreditace tak není založena na posouzení vysoké školy jako integrované instituce odpovědné za kvalitu všech svých činností, ale na hodnocení vymezených segmentů její vzdělávací činnosti. Takové pojetí oslabuje samotnou logiku institucionální akreditace. Pokud je vysoké škole uznáno, že disponuje funkčním vnitřním systémem zajišťování kvality a je schopna samostatně vytvářet, schvalovat, monitorovat a rozvíjet studijní programy, není zřejmé, proč je tato důvěra nadále podmiňována vymezením konkrétních oblastí vzdělávání. Současný model tak ve skutečnosti kombinuje institucionální a programový přístup k akreditacím, aniž by plně přenesl odpovědnost za kvalitu přímo na vysokou školu. Tento přístup neodpovídá směru, kterým se dlouhodobě vyvíjí evropské systémy zajišťování kvality. ESG vycházejí z principu, že primární odpovědnost za kvalitu vzdělávací činnosti nese vysoká škola jako celek, a zdůrazňují význam robustních vnitřních systémů zajišťování kvality, institucionální kultury kvality a průběžného zlepšování. Současně evropská doporučení podporují postupný přechod od programově orientovaných forem externího hodnocení k institucionálním přístupům založeným na důvěře ve vnitřní mechanismy vysokých škol.</w:t>
      </w:r>
    </w:p>
    <w:p>
      <w:pPr>
        <w:pStyle w:val="Normal"/>
        <w:spacing w:lineRule="auto" w:line="278" w:before="0" w:after="160"/>
        <w:jc w:val="both"/>
        <w:rPr>
          <w:rFonts w:cs="Arial"/>
        </w:rPr>
      </w:pPr>
      <w:r>
        <w:rPr>
          <w:rFonts w:cs="Arial"/>
        </w:rPr>
        <w:t>Vázání institucionální akreditace na oblasti vzdělávání vytváří dodatečnou regulatorní a administrativní vrstvu, neboť vysoké školy musí opakovaně prokazovat způsobilost v jednotlivých oblastech vzdělávání, přestože značná část hodnoticích kritérií směřuje k posouzení institucionálních procesů společných pro celou vysokou školu. Tento přístup zvyšuje administrativní náročnost jak na straně vysokých škol, tak na straně Národního akreditačního úřadu pro terciární vzdělávání, aniž by bylo jednoznačně prokázáno, že přináší vyšší úroveň kvality vzdělávání.</w:t>
      </w:r>
    </w:p>
    <w:p>
      <w:pPr>
        <w:pStyle w:val="Normal"/>
        <w:spacing w:lineRule="auto" w:line="278" w:before="0" w:after="160"/>
        <w:jc w:val="both"/>
        <w:rPr>
          <w:rFonts w:cs="Arial"/>
        </w:rPr>
      </w:pPr>
      <w:r>
        <w:rPr>
          <w:rFonts w:cs="Arial"/>
        </w:rPr>
        <w:t>Současně systém založený na oblastech vzdělávání pouze omezeně reflektuje rostoucí význam interdisciplinárních a mezioborových studijních programů. Moderní vysokoškolské vzdělávání stále častěji překračuje tradiční hranice jednotlivých disciplín a propojuje poznatky z různých odborných oblastí. Akreditační rámec založený na předem vymezených oblastech vzdělávání však vychází z tradičního disciplinárního členění a nemusí dostatečně podporovat pružný rozvoj nových studijních programů reagujících na aktuální společenské, technologické a ekonomické potřeby.</w:t>
      </w:r>
    </w:p>
    <w:p>
      <w:pPr>
        <w:pStyle w:val="Normal"/>
        <w:spacing w:lineRule="auto" w:line="278" w:before="0" w:after="160"/>
        <w:jc w:val="both"/>
        <w:rPr>
          <w:rFonts w:cs="Arial"/>
        </w:rPr>
      </w:pPr>
      <w:r>
        <w:rPr>
          <w:rFonts w:cs="Arial"/>
        </w:rPr>
        <w:t>Omezená je také kompatibilita současného modelu s rozvojem společných evropských studijních programů. V rámci Evropského prostoru vysokoškolského vzdělávání je dlouhodobě podporováno využívání European Approach for Quality Assurance of Joint Programmes, jehož cílem je odstranit překážky rozvoje společných programů prostřednictvím jednotného hodnocení kvality založeného na společných evropských standardech bez dodatečných národních požadavků. Evropská doporučení současně vyzývají členské státy k odstraňování regulatorních bariér, k širšímu využívání European Approach a k postupnému posilování institucionálních forem externího hodnocení.</w:t>
      </w:r>
    </w:p>
    <w:p>
      <w:pPr>
        <w:pStyle w:val="Normal"/>
        <w:spacing w:lineRule="auto" w:line="278" w:before="0" w:after="160"/>
        <w:jc w:val="both"/>
        <w:rPr>
          <w:rFonts w:cs="Arial"/>
        </w:rPr>
      </w:pPr>
      <w:r>
        <w:rPr>
          <w:rFonts w:cs="Arial"/>
        </w:rPr>
        <w:t>Současná právní úprava vnitřního zajišťování kvality vysokých škol již plně neodpovídá současným potřebám vysokoškolského sektoru ani pojetí kvality vycházejícímu z ESG. Přestože reforma z roku 2016 posílila odpovědnost vysokých škol za kvalitu jejich činnosti, právní rámec je i nadále do značné míry zaměřen na formální procesy a plnění požadavků akreditačního systému, zatímco ESG kladou důraz na rozvoj kultury kvality, průběžné zlepšování a strategické řízení institucí.</w:t>
      </w:r>
    </w:p>
    <w:p>
      <w:pPr>
        <w:pStyle w:val="Normal"/>
        <w:spacing w:lineRule="auto" w:line="278" w:before="0" w:after="160"/>
        <w:jc w:val="both"/>
        <w:rPr>
          <w:rFonts w:cs="Arial"/>
        </w:rPr>
      </w:pPr>
      <w:r>
        <w:rPr>
          <w:rFonts w:cs="Arial"/>
        </w:rPr>
        <w:t>Současná úprava pouze omezeně reflektuje princip, podle něhož nesou vysoké školy primární odpovědnost za kvalitu vzdělávání a její soustavné zvyšování. Nedostatečně podporuje systematické využívání výsledků hodnocení, dat o studijní úspěšnosti, uplatnění absolventů či zpětné vazby studentů pro řízení a rozvoj vysokých škol. Omezeně jsou rovněž zohledněny požadavky ESG na aktivní zapojování studentů, absolventů, zaměstnavatelů a dalších relevantních aktérů do procesů zajišťování kvality.</w:t>
      </w:r>
    </w:p>
    <w:p>
      <w:pPr>
        <w:pStyle w:val="Normal"/>
        <w:spacing w:lineRule="auto" w:line="278" w:before="0" w:after="160"/>
        <w:jc w:val="both"/>
        <w:rPr>
          <w:rFonts w:cs="Arial"/>
        </w:rPr>
      </w:pPr>
      <w:r>
        <w:rPr>
          <w:rFonts w:cs="Arial"/>
        </w:rPr>
        <w:t>Zákon tak není plně kompatibilní s první částí ESG, která předpokládá, že systémy vnitřního zajišťování kvality budou tvořit nedílnou součást strategického řízení vysokých škol, budou založeny na průběžném zlepšování, práci s relevantními daty, zapojení zainteresovaných stran a podpoře kvality ve všech oblastech činnosti vysoké školy. Nová právní úprava by proto měla vytvořit flexibilnější rámec, který umožní vysokým školám rozvíjet moderní systémy zajišťování kvality odpovídající evropským standardům a současným potřebám vysokoškolského vzdělávání.</w:t>
      </w:r>
    </w:p>
    <w:p>
      <w:pPr>
        <w:pStyle w:val="Normal"/>
        <w:spacing w:lineRule="auto" w:line="278" w:before="0" w:after="160"/>
        <w:jc w:val="both"/>
        <w:rPr>
          <w:rFonts w:cs="Arial"/>
        </w:rPr>
      </w:pPr>
      <w:r>
        <w:rPr>
          <w:rFonts w:cs="Arial"/>
        </w:rPr>
        <w:t>Zákon nevytváří podmínky pro plnou integraci Akreditačního úřadu do evropských struktur zabezpečování kvality, zejména pro získání členství v Evropské asociaci pro zabezpečování kvality ve vysokoškolském vzdělávání (ENQA) a registraci v Evropském registru agentur zabezpečování kvality (EQAR). Podmínkou členství je prokázání souladu s ESG, přičemž zvláštní důraz je kladen na operační nezávislost a autonomii akreditační agentury při tvorbě a uplatňování vlastních postupů, metodik a hodnoticích kritérií. ESG současně tvoří základní rámec pro posuzování žádostí o členství v ENQA.</w:t>
      </w:r>
    </w:p>
    <w:p>
      <w:pPr>
        <w:pStyle w:val="Normal"/>
        <w:spacing w:lineRule="auto" w:line="278" w:before="0" w:after="160"/>
        <w:jc w:val="both"/>
        <w:rPr>
          <w:rFonts w:cs="Arial"/>
        </w:rPr>
      </w:pPr>
      <w:r>
        <w:rPr>
          <w:rFonts w:cs="Arial"/>
        </w:rPr>
        <w:t xml:space="preserve">Současný zákonný model však stanoví, že standardy pro akreditace jsou určovány nařízením vlády č. 274/2016 Sb., o standardech pro akreditace ve vysokém školství. Tím je významná část pravidel, podle nichž Akreditační úřad vykonává svou činnost, stanovována mimo samotný úřad. Tento přístup omezuje možnost NAÚ pružně reagovat na vývoj evropských standardů ESG, promítat do své rozhodovací praxe získané zkušenosti a samostatně rozvíjet metodické nástroje zabezpečování kvality. </w:t>
      </w:r>
    </w:p>
    <w:p>
      <w:pPr>
        <w:pStyle w:val="Normal"/>
        <w:spacing w:lineRule="auto" w:line="278" w:before="0" w:after="160"/>
        <w:jc w:val="both"/>
        <w:rPr>
          <w:rFonts w:cs="Arial"/>
        </w:rPr>
      </w:pPr>
      <w:r>
        <w:rPr>
          <w:rFonts w:cs="Arial"/>
        </w:rPr>
        <w:t>Navrhovaná právní úprava proto směřuje k posílení institucionální autonomie Akreditačního úřadu při stanovování standardů a metodik zabezpečování kvality a k dosažení plné kompatibility s ESG. S tím souvisí i potřeba zrušení nařízení vlády č. 274/2016 Sb., jehož obsah by byl nahrazen flexibilnějším systémem standardů a metodických dokumentů přijímaných samotným Akreditačním úřadem. Tento krok přispěje k naplnění podmínek pro členství v ENQA a registraci v EQAR, a tím i k hlubší integraci České republiky do evropského systému zabezpečování kvality vysokého školství.</w:t>
      </w:r>
    </w:p>
    <w:p>
      <w:pPr>
        <w:pStyle w:val="Heading1"/>
        <w:shd w:val="clear" w:color="auto" w:fill="95B3D7" w:themeFill="accent1" w:themeFillTint="99"/>
        <w:spacing w:lineRule="auto" w:line="278" w:before="0" w:after="160"/>
        <w:jc w:val="both"/>
        <w:rPr>
          <w:rFonts w:ascii="Arial" w:hAnsi="Arial" w:cs="Arial"/>
          <w:color w:val="auto"/>
          <w:sz w:val="20"/>
          <w:szCs w:val="20"/>
        </w:rPr>
      </w:pPr>
      <w:r>
        <w:rPr>
          <w:rFonts w:cs="Arial" w:ascii="Arial" w:hAnsi="Arial"/>
          <w:color w:val="auto"/>
          <w:sz w:val="20"/>
          <w:szCs w:val="20"/>
        </w:rPr>
        <w:t>3.5 Dostupné a flexibilní studium</w:t>
      </w:r>
    </w:p>
    <w:p>
      <w:pPr>
        <w:pStyle w:val="Normal"/>
        <w:spacing w:lineRule="auto" w:line="278" w:before="0" w:after="160"/>
        <w:jc w:val="both"/>
        <w:rPr>
          <w:rFonts w:eastAsia="Times New Roman" w:cs="Arial"/>
          <w:lang w:eastAsia="cs-CZ"/>
        </w:rPr>
      </w:pPr>
      <w:r>
        <w:rPr>
          <w:rFonts w:eastAsia="Times New Roman" w:cs="Arial"/>
          <w:lang w:eastAsia="cs-CZ"/>
        </w:rPr>
        <w:t>Současná právní úprava studia obsažená v § 48 až 60 zákona o vysokých školách vychází převážně z tradičního lineárního modelu vysokoškolského vzdělávání, který odpovídá zejména studentům vstupujícím do studia bezprostředně po absolvování střední školy a věnujícím se mu jako své hlavní činnosti. Tento model však již plně neodpovídá současné struktuře studující populace ani požadavkům celoživotního vzdělávání. Roste podíl studentů, kteří kombinují studium se zaměstnáním, podnikáním nebo péčí o rodinu, a zvyšuje se poptávka po flexibilnějších vzdělávacích cestách.</w:t>
      </w:r>
    </w:p>
    <w:p>
      <w:pPr>
        <w:pStyle w:val="Normal"/>
        <w:spacing w:lineRule="auto" w:line="278" w:before="0" w:after="160"/>
        <w:jc w:val="both"/>
        <w:rPr>
          <w:rFonts w:eastAsia="Times New Roman" w:cs="Arial"/>
          <w:lang w:eastAsia="cs-CZ"/>
        </w:rPr>
      </w:pPr>
      <w:r>
        <w:rPr>
          <w:rFonts w:eastAsia="Times New Roman" w:cs="Arial"/>
          <w:lang w:eastAsia="cs-CZ"/>
        </w:rPr>
        <w:t>Právní úprava současně pouze částečně reflektuje koncepty a terminologii dlouhodobě využívané v rámci Evropského prostoru vysokoškolského vzdělávání a Boloňského procesu. Ačkoliv zákon obsahuje některé související instituty, řada klíčových konceptů není vymezena jednoznačně nebo není upravena vůbec. To se týká zejména systému kreditů ECTS (European Credit Transfer and Accumulation System), výsledků učení (learning outcomes), studijní zátěže studenta (student workload), flexibilních vzdělávacích cest a uznávání předchozího učení. Nedostatečná terminologická a koncepční provázanost s evropskými standardy může omezovat mezinárodní srovnatelnost českého vysokoškolského vzdělávání, podporu mobility studentů a zaměstnanců i rozvoj inovativních forem vzdělávání.</w:t>
      </w:r>
    </w:p>
    <w:p>
      <w:pPr>
        <w:pStyle w:val="Normal"/>
        <w:spacing w:lineRule="auto" w:line="278" w:before="0" w:after="160"/>
        <w:jc w:val="both"/>
        <w:rPr/>
      </w:pPr>
      <w:r>
        <w:rPr/>
        <w:t>Současná právní úprava forem studia vychází z rozlišení prezenční, distanční a kombinované formy studia. Toto členění však primárně popisuje způsob organizace výuky a komunikace mezi vysokou školou a studentem, nikoliv skutečnou intenzitu studia, rozsah studijní zátěže nebo délku studijní dráhy. V důsledku toho pouze omezeně reflektuje rostoucí rozmanitost studentů a potřebu flexibilních vzdělávacích cest podporujících celoživotní učení.</w:t>
      </w:r>
    </w:p>
    <w:p>
      <w:pPr>
        <w:pStyle w:val="Normal"/>
        <w:spacing w:lineRule="auto" w:line="278" w:before="0" w:after="160"/>
        <w:jc w:val="both"/>
        <w:rPr/>
      </w:pPr>
      <w:r>
        <w:rPr/>
        <w:t>Současné vysoké školy vzdělávají stále širší spektrum osob, včetně studentů kombinujících studium se zaměstnáním, podnikáním, péčí o děti nebo jiné závislé osoby, stejně jako osob vstupujících do vysokoškolského vzdělávání v pozdějších etapách života. Současný právní rámec však nevytváří dostatečné podmínky pro studijní dráhy založené na nižší studijní zátěži rozvržené do delšího období. Zákonné vymezení forem studia navíc není přímo spojeno s objemem studijních povinností ani se standardní dobou potřebnou k jejich splnění. Student kombinované formy studia tak může být fakticky vystaven obdobné studijní zátěži jako student prezenční formy, přestože jeho životní situace často vyžaduje odlišnou organizaci studia. Vysoké školy jsou následně nuceny řešit individuální potřeby studentů prostřednictvím výjimek, individuálních studijních plánů nebo přerušování studia namísto systémových nástrojů zakotvených v právní úpravě.</w:t>
      </w:r>
    </w:p>
    <w:p>
      <w:pPr>
        <w:pStyle w:val="Normal"/>
        <w:spacing w:lineRule="auto" w:line="278" w:before="0" w:after="160"/>
        <w:jc w:val="both"/>
        <w:rPr/>
      </w:pPr>
      <w:r>
        <w:rPr/>
        <w:t>Nedostatečná flexibilita se negativně promítá také do studijní úspěšnosti a dostupnosti vysokoškolského vzdělávání. Osoby, které nemohou plnit studijní povinnosti ve standardním termínu z pracovních, sociálních nebo rodinných důvodů, jsou často nuceny studium přerušovat nebo ukončovat, přestože by byly schopny jej úspěšně dokončit při nižší intenzitě studia a delším časovém horizontu. Současná právní úprava zároveň neodpovídá trendům rozšířeným v řadě evropských zemí, které nerozlišují mezi studiem na plný úvazek (full-time) a studiem na částečný úvazek (part-time). Tento přístup lépe zohledňuje skutečnou intenzitu studia, umožňuje transparentnější rozložení studijní zátěže v čase a podporuje širší zapojení různých skupin obyvatel do vysokoškolského vzdělávání. Česká právní úprava naproti tomu nadále vychází především ze způsobu organizace výuky, nikoliv z potřeb studentů a jejich studijních drah.</w:t>
      </w:r>
    </w:p>
    <w:p>
      <w:pPr>
        <w:pStyle w:val="Normal"/>
        <w:spacing w:lineRule="auto" w:line="278" w:before="0" w:after="160"/>
        <w:jc w:val="both"/>
        <w:rPr/>
      </w:pPr>
      <w:r>
        <w:rPr/>
        <w:t>Zákon pojímá studijní program jako základní organizační jednotku vysokoškolského studia. Přestože vysoké školy v praxi stále častěji rozvíjejí flexibilní a interdisciplinární formy vzdělávání, právní úprava jejich systematické využívání podporuje pouze omezeně. Zákon explicitně neupravuje například specializace v rámci studijních programů ani sdružené studium založené na kombinaci více studijních programů či jejich částí v režimu hlavního a vedlejšího studijního zaměření (major-minor). Absence jednoznačného právního ukotvení těchto forem studia omezuje možnosti vysokých škol vytvářet vzdělávací cesty, které lépe odpovídají rostoucí potřebě mezioborových znalostí a individuální profilace studentů. Vysoké školy sice mohou obdobné modely realizovat prostřednictvím vnitřních pravidel a organizačních řešení, tato řešení jsou však často administrativně náročná, obtížně srovnatelná napříč institucemi a nepřinášejí dostatečnou právní jistotu pro studenty ani školy.</w:t>
      </w:r>
    </w:p>
    <w:p>
      <w:pPr>
        <w:pStyle w:val="Normal"/>
        <w:spacing w:lineRule="auto" w:line="278" w:before="0" w:after="160"/>
        <w:jc w:val="both"/>
        <w:rPr/>
      </w:pPr>
      <w:r>
        <w:rPr/>
        <w:t>Přezkum dále ukázal, že současný systém oblastí vzdělávání a profilů studijních programů, zavedený v souvislosti s reformou akreditačního systému v roce 2016, již v některých ohledech neodpovídá současným potřebám vysokého školství. Oblasti vzdělávání představují národní klasifikační kategorii s omezenou vazbou na mezinárodně používané klasifikace, což komplikuje mezinárodní srovnávání, vykazování dat i spolupráci vysokých škol. Současně jen omezeně reflektují rostoucí význam interdisciplinárních studijních programů, které překračují tradiční hranice jednotlivých oborů.</w:t>
      </w:r>
    </w:p>
    <w:p>
      <w:pPr>
        <w:pStyle w:val="Normal"/>
        <w:spacing w:lineRule="auto" w:line="278" w:before="0" w:after="160"/>
        <w:jc w:val="both"/>
        <w:rPr/>
      </w:pPr>
      <w:r>
        <w:rPr/>
        <w:t>Obdobné limity se projevují také u rozlišování bakalářských a magisterských studijních programů podle akademického a profesního profilu. Toto členění vychází z předpokladu relativně jasného oddělení akademicky a profesně zaměřeného vzdělávání. Současná vzdělávací praxe však stále více směřuje k jejich propojení. Řada studijních programů kombinuje teoretickou přípravu, aplikovaný výzkum, praktické vzdělávání i spolupráci se zaměstnavateli a připravuje absolventy současně pro výkon povolání i pro další studium. Formální zařazení do jednoho z profilů proto nemusí vždy odpovídat skutečnému charakteru programu ani kompetencím, které absolventi získávají.</w:t>
      </w:r>
    </w:p>
    <w:p>
      <w:pPr>
        <w:pStyle w:val="Normal"/>
        <w:spacing w:lineRule="auto" w:line="278" w:before="0" w:after="160"/>
        <w:jc w:val="both"/>
        <w:rPr/>
      </w:pPr>
      <w:r>
        <w:rPr/>
        <w:t>Současně se ukazuje, že koncept profilů studijních programů představuje především národní regulatorní nástroj, který nemá přímou oporu v základních principech Evropského prostoru vysokoškolského vzdělávání. Současné evropské přístupy vycházejí primárně z profilu absolventa, výsledků učení a dosažených kompetencí, nikoli z formální kategorizace studijních programů. Kvalita a zaměření studijního programu jsou posuzovány především podle toho, zda deklarované výsledky učení odpovídají příslušné úrovni kvalifikace a potřebám praxe.</w:t>
      </w:r>
    </w:p>
    <w:p>
      <w:pPr>
        <w:pStyle w:val="Normal"/>
        <w:spacing w:lineRule="auto" w:line="278" w:before="0" w:after="160"/>
        <w:jc w:val="both"/>
        <w:rPr/>
      </w:pPr>
      <w:r>
        <w:rPr/>
        <w:t>Omezení současné právní úpravy se projevují také ve vztahu k novým formám vysokoškolského vzdělávání a celoživotního učení. Stávající systém byl koncipován především pro tradiční bakalářské, magisterské a doktorské studijní programy a pouze omezeně reflektuje rozvoj krátkých vzdělávacích cyklů, mikrocertifikátů a dalších flexibilních forem vzdělávání. V důsledku toho může vytvářet zbytečné administrativní bariéry a omezovat schopnost vysokých škol pružně reagovat na měnící se potřeby studentů, zaměstnavatelů a společnosti jako celku.</w:t>
      </w:r>
    </w:p>
    <w:p>
      <w:pPr>
        <w:pStyle w:val="Normal"/>
        <w:spacing w:lineRule="auto" w:line="278" w:before="0" w:after="160"/>
        <w:jc w:val="both"/>
        <w:rPr/>
      </w:pPr>
      <w:r>
        <w:rPr/>
        <w:t>Současná právní úprava rovněž pouze omezeně reflektuje rozvoj nových forem vzdělávání. Neobsahuje dostatečný rámec pro krátké vzdělávací programy, mikrocertifikáty ani další flexibilní formy celoživotního vzdělávání. Chybí jejich jasné vymezení, vazba na výsledky učení a mechanismy jejich uznávání. Omezená je také právní úprava společných studijních programů uskutečňovaných ve spolupráci více vysokých škol, zejména v mezinárodním prostředí.</w:t>
      </w:r>
    </w:p>
    <w:p>
      <w:pPr>
        <w:pStyle w:val="Normal"/>
        <w:spacing w:lineRule="auto" w:line="278" w:before="0" w:after="160"/>
        <w:jc w:val="both"/>
        <w:rPr/>
      </w:pPr>
      <w:r>
        <w:rPr/>
        <w:t>Přezkum současně identifikoval nedostatky v oblasti přijímacího řízení. Stávající právní úprava je založena na relativně rigidním vymezení procesních postupů a poskytuje vysokým školám pouze omezený prostor pro přizpůsobení organizace přijímacího řízení charakteru jednotlivých studijních programů nebo potřebám specifických skupin uchazečů. To se projevuje zejména omezenou flexibilitou při organizaci více kol přijímacího řízení, průběžném přijímání uchazečů nebo při zohledňování různých vzdělávacích a životních situací uchazečů.</w:t>
      </w:r>
    </w:p>
    <w:p>
      <w:pPr>
        <w:pStyle w:val="Normal"/>
        <w:spacing w:lineRule="auto" w:line="278" w:before="0" w:after="160"/>
        <w:jc w:val="both"/>
        <w:rPr/>
      </w:pPr>
      <w:r>
        <w:rPr/>
        <w:t>Celkově přezkum ukázal, že současná právní úprava pouze částečně reaguje na proměny vysokoškolského vzdělávání, rostoucí význam celoživotního učení, potřebu flexibilních studijních drah, internacionalizaci a rozvoj nových forem vzdělávání. V řadě oblastí proto nevytváří dostatečné podmínky pro dostupné, prostupné a flexibilní vysokoškolské vzdělávání odpovídající současným potřebám studentů, vysokých škol i společnosti.</w:t>
      </w:r>
    </w:p>
    <w:p>
      <w:pPr>
        <w:pStyle w:val="Heading2"/>
        <w:shd w:val="clear" w:color="auto" w:fill="548DD4" w:themeFill="text2" w:themeFillTint="99"/>
        <w:rPr>
          <w:rFonts w:ascii="Arial" w:hAnsi="Arial" w:eastAsia="Arial"/>
          <w:color w:val="auto"/>
          <w:sz w:val="20"/>
          <w:szCs w:val="20"/>
        </w:rPr>
      </w:pPr>
      <w:r>
        <w:rPr>
          <w:rFonts w:eastAsia="Arial" w:ascii="Arial" w:hAnsi="Arial"/>
          <w:color w:val="auto"/>
          <w:sz w:val="20"/>
          <w:szCs w:val="20"/>
        </w:rPr>
        <w:t>4. Návrh věcného řešení</w:t>
      </w:r>
    </w:p>
    <w:p>
      <w:pPr>
        <w:pStyle w:val="Normal"/>
        <w:rPr>
          <w:b/>
          <w:bCs/>
          <w:lang w:eastAsia="cs-CZ"/>
        </w:rPr>
      </w:pPr>
      <w:r>
        <w:rPr>
          <w:b/>
          <w:bCs/>
          <w:lang w:eastAsia="cs-CZ"/>
        </w:rPr>
      </w:r>
    </w:p>
    <w:p>
      <w:pPr>
        <w:pStyle w:val="Normal"/>
        <w:shd w:val="clear" w:color="auto" w:fill="8DB3E2" w:themeFill="text2" w:themeFillTint="66"/>
        <w:rPr>
          <w:b/>
          <w:bCs/>
          <w:lang w:eastAsia="cs-CZ"/>
        </w:rPr>
      </w:pPr>
      <w:r>
        <w:rPr>
          <w:b/>
          <w:bCs/>
          <w:lang w:eastAsia="cs-CZ"/>
        </w:rPr>
        <w:t>4.1 Řízení a správa</w:t>
      </w:r>
    </w:p>
    <w:p>
      <w:pPr>
        <w:pStyle w:val="Normal"/>
        <w:keepNext w:val="true"/>
        <w:keepLines/>
        <w:numPr>
          <w:ilvl w:val="0"/>
          <w:numId w:val="0"/>
        </w:numPr>
        <w:suppressAutoHyphens w:val="true"/>
        <w:spacing w:before="320" w:after="160"/>
        <w:outlineLvl w:val="4"/>
        <w:rPr>
          <w:rFonts w:eastAsia="MS PGothic" w:cs="Arial"/>
          <w:b/>
          <w:bCs/>
          <w:color w:themeColor="text1" w:val="000000"/>
          <w:kern w:val="2"/>
          <w14:ligatures w14:val="standardContextual"/>
        </w:rPr>
      </w:pPr>
      <w:r>
        <w:rPr>
          <w:rFonts w:eastAsia="MS PGothic" w:cs="Arial"/>
          <w:b/>
          <w:bCs/>
          <w:color w:themeColor="text1" w:val="000000"/>
          <w:kern w:val="2"/>
          <w14:ligatures w14:val="standardContextual"/>
        </w:rPr>
        <w:t>4.1.1 Organizace veřejné vysoké školy</w:t>
      </w:r>
    </w:p>
    <w:p>
      <w:pPr>
        <w:pStyle w:val="Normal"/>
        <w:spacing w:lineRule="auto" w:line="257" w:before="120" w:afterAutospacing="1"/>
        <w:jc w:val="both"/>
        <w:rPr>
          <w:rFonts w:ascii="Calibri" w:hAnsi="Calibri" w:eastAsia="Calibri" w:cs="Calibri"/>
          <w:bCs/>
          <w:kern w:val="2"/>
          <w:sz w:val="24"/>
          <w:szCs w:val="24"/>
          <w14:ligatures w14:val="standardContextual"/>
        </w:rPr>
      </w:pPr>
      <w:r>
        <w:rPr>
          <w:rFonts w:cs="Arial"/>
          <w:kern w:val="2"/>
          <w14:ligatures w14:val="standardContextual"/>
        </w:rPr>
        <w:t>Veřejné v</w:t>
      </w:r>
      <w:r>
        <w:rPr>
          <w:rFonts w:cs="Arial"/>
          <w:bCs/>
          <w:kern w:val="2"/>
          <w14:ligatures w14:val="standardContextual"/>
        </w:rPr>
        <w:t>ysoké školy se budou moci organizačně členit na součásti stanovené zákonem, popř. statutem; fakultu jako součást vysoké školy bude moci i nadále zřídit pouze vysoká škola univerzitn</w:t>
      </w:r>
      <w:r>
        <w:rPr>
          <w:rFonts w:eastAsia="Calibri" w:cs="Calibri" w:ascii="Calibri" w:hAnsi="Calibri"/>
          <w:bCs/>
          <w:kern w:val="2"/>
          <w:sz w:val="24"/>
          <w:szCs w:val="24"/>
          <w14:ligatures w14:val="standardContextual"/>
        </w:rPr>
        <w:t>í.</w:t>
      </w:r>
    </w:p>
    <w:p>
      <w:pPr>
        <w:pStyle w:val="Normal"/>
        <w:spacing w:lineRule="auto" w:line="257" w:before="120" w:after="120"/>
        <w:jc w:val="both"/>
        <w:rPr>
          <w:rFonts w:cs="Arial"/>
          <w:kern w:val="2"/>
          <w14:ligatures w14:val="standardContextual"/>
        </w:rPr>
      </w:pPr>
      <w:r>
        <w:rPr>
          <w:rFonts w:cs="Arial"/>
          <w:kern w:val="2"/>
          <w14:ligatures w14:val="standardContextual"/>
        </w:rPr>
        <w:t xml:space="preserve">Fakulty budou v novém zákoně upraveny oproti stávající právní úpravě obecněji. Rozsah autonomie fakult bude záležet na rozhodnutí vysoké školy, resp. jejích “centrálních orgánů”, promítnutém do statutu vysoké školy. Veřejné vysoké školy budou oprávněny přenášet výkon konkrétních pravomocí a působnosti na fakultu (popřípadě jiné součásti veřejné vysoké školy), resp. na děkana nebo případně další fakultní orgány nebo orgány jiných součástí vysoké školy; odpovědnost univerzitní rady a rektora tím však nebude dotčena. </w:t>
      </w:r>
    </w:p>
    <w:p>
      <w:pPr>
        <w:pStyle w:val="Normal"/>
        <w:spacing w:lineRule="auto" w:line="257" w:before="120" w:after="120"/>
        <w:jc w:val="both"/>
        <w:rPr>
          <w:rFonts w:cs="Arial"/>
          <w:kern w:val="2"/>
          <w14:ligatures w14:val="standardContextual"/>
        </w:rPr>
      </w:pPr>
      <w:r>
        <w:rPr>
          <w:rFonts w:cs="Arial"/>
          <w:kern w:val="2"/>
          <w14:ligatures w14:val="standardContextual"/>
        </w:rPr>
        <w:t>Fakulta bude jako doposud jedinou součástí vysoké školy, která bude moci studijní program uskutečňovat samostatně a mít studenty, kteří budou na fakultě zapsáni do studia studijního programu uskutečňovaného fakultou; to nebude vylučovat možnost jiných součástí téže vysoké školy se na uskutečňování studijního programu podílet. Fakulta bude moci uskutečňovat studijní programy též ve spolupráci s dalšími fakultami téže vysoké školy nebo se bude moci na uskutečňování studijního programu téže vysoké školy nebo jiné její fakulty podílet.</w:t>
      </w:r>
    </w:p>
    <w:p>
      <w:pPr>
        <w:pStyle w:val="Normal"/>
        <w:spacing w:lineRule="auto" w:line="257" w:before="120" w:after="120"/>
        <w:jc w:val="both"/>
        <w:rPr>
          <w:rFonts w:cs="Arial"/>
          <w:kern w:val="2"/>
          <w14:ligatures w14:val="standardContextual"/>
        </w:rPr>
      </w:pPr>
      <w:r>
        <w:rPr>
          <w:rFonts w:cs="Arial"/>
          <w:kern w:val="2"/>
          <w14:ligatures w14:val="standardContextual"/>
        </w:rPr>
        <w:t>Podmínkou pro uskutečňování studijního programu fakultou podle zákona však bude, aby fakultě (a jejím orgánům) byly, vedle možnosti uskutečňovat studijní programy, svěřeny (alespoň v minimálním rozsahu stanoveném zákonem) zákonem vyjmenované příslušné potřebné působnosti a pravomoci (tj. včetně například toho, že bude zřízena funkce děkana fakulty, který bude ve správních řízeních v prvním stupni za vysokou školu rozhodovat o právech a povinnostech studentů zapsaných do studia na fakultě).</w:t>
      </w:r>
    </w:p>
    <w:p>
      <w:pPr>
        <w:pStyle w:val="Normal"/>
        <w:keepNext w:val="true"/>
        <w:keepLines/>
        <w:numPr>
          <w:ilvl w:val="0"/>
          <w:numId w:val="0"/>
        </w:numPr>
        <w:suppressAutoHyphens w:val="true"/>
        <w:spacing w:before="320" w:after="160"/>
        <w:outlineLvl w:val="4"/>
        <w:rPr>
          <w:rFonts w:eastAsia="MS PGothic" w:cs="Arial"/>
          <w:b/>
          <w:bCs/>
          <w:color w:themeColor="text1" w:val="000000"/>
          <w:kern w:val="2"/>
          <w14:ligatures w14:val="standardContextual"/>
        </w:rPr>
      </w:pPr>
      <w:r>
        <w:rPr>
          <w:rFonts w:eastAsia="MS PGothic" w:cs="Arial"/>
          <w:b/>
          <w:bCs/>
          <w:color w:themeColor="text1" w:val="000000"/>
          <w:kern w:val="2"/>
          <w14:ligatures w14:val="standardContextual"/>
        </w:rPr>
        <w:t>4.1.2 Vnitřní předpisy veřejné vysoké školy</w:t>
      </w:r>
    </w:p>
    <w:p>
      <w:pPr>
        <w:pStyle w:val="Normal"/>
        <w:spacing w:before="0" w:after="160"/>
        <w:jc w:val="both"/>
        <w:rPr>
          <w:rFonts w:cs="Arial"/>
          <w:kern w:val="2"/>
          <w14:ligatures w14:val="standardContextual"/>
        </w:rPr>
      </w:pPr>
      <w:r>
        <w:rPr>
          <w:rFonts w:eastAsia="MS PGothic" w:cs="Arial"/>
          <w:kern w:val="2"/>
          <w14:ligatures w14:val="standardContextual"/>
        </w:rPr>
        <w:t>Vnitřním předpisem veřejné vysoké školy bude statut a předpisy vydané na jeho základě, které budou obecně a závazně upravovat práva a povinnosti členů akademické obce nebo jejích vymezených částí.</w:t>
      </w:r>
    </w:p>
    <w:p>
      <w:pPr>
        <w:pStyle w:val="Normal"/>
        <w:jc w:val="both"/>
        <w:rPr>
          <w:rFonts w:eastAsia="MS PGothic" w:cs="Arial"/>
          <w:kern w:val="2"/>
          <w14:ligatures w14:val="standardContextual"/>
        </w:rPr>
      </w:pPr>
      <w:r>
        <w:rPr>
          <w:rFonts w:eastAsia="MS PGothic" w:cs="Arial"/>
          <w:kern w:val="2"/>
          <w14:ligatures w14:val="standardContextual"/>
        </w:rPr>
        <w:t>Nový zákon bude vnitřní předpisy veřejné vysoké školy členit na</w:t>
      </w:r>
    </w:p>
    <w:p>
      <w:pPr>
        <w:pStyle w:val="Normal"/>
        <w:jc w:val="both"/>
        <w:rPr>
          <w:rFonts w:cs="Arial"/>
          <w:kern w:val="2"/>
          <w14:ligatures w14:val="standardContextual"/>
        </w:rPr>
      </w:pPr>
      <w:r>
        <w:rPr>
          <w:rFonts w:eastAsia="MS PGothic" w:cs="Arial"/>
          <w:kern w:val="2"/>
          <w14:ligatures w14:val="standardContextual"/>
        </w:rPr>
        <w:t>a) statut veřejné vysoké školy,</w:t>
      </w:r>
    </w:p>
    <w:p>
      <w:pPr>
        <w:pStyle w:val="Normal"/>
        <w:jc w:val="both"/>
        <w:rPr>
          <w:rFonts w:cs="Arial"/>
          <w:kern w:val="2"/>
          <w14:ligatures w14:val="standardContextual"/>
        </w:rPr>
      </w:pPr>
      <w:r>
        <w:rPr>
          <w:rFonts w:eastAsia="MS PGothic" w:cs="Arial"/>
          <w:kern w:val="2"/>
          <w14:ligatures w14:val="standardContextual"/>
        </w:rPr>
        <w:t>b) ostatní vnitřní předpisy.</w:t>
      </w:r>
    </w:p>
    <w:p>
      <w:pPr>
        <w:pStyle w:val="Normal"/>
        <w:spacing w:before="0" w:after="160"/>
        <w:rPr>
          <w:rFonts w:cs="Arial"/>
          <w:b/>
          <w:bCs/>
          <w:kern w:val="2"/>
          <w14:ligatures w14:val="standardContextual"/>
        </w:rPr>
      </w:pPr>
      <w:r>
        <w:rPr>
          <w:rFonts w:cs="Arial"/>
          <w:b/>
          <w:bCs/>
          <w:kern w:val="2"/>
          <w14:ligatures w14:val="standardContextual"/>
        </w:rPr>
      </w:r>
    </w:p>
    <w:p>
      <w:pPr>
        <w:pStyle w:val="Normal"/>
        <w:spacing w:before="0" w:after="160"/>
        <w:rPr>
          <w:rFonts w:cs="Arial"/>
          <w:b/>
          <w:bCs/>
          <w:kern w:val="2"/>
          <w14:ligatures w14:val="standardContextual"/>
        </w:rPr>
      </w:pPr>
      <w:r>
        <w:rPr>
          <w:rFonts w:cs="Arial"/>
          <w:b/>
          <w:bCs/>
          <w:kern w:val="2"/>
          <w14:ligatures w14:val="standardContextual"/>
        </w:rPr>
        <w:t>Statut veřejné vysoké školy</w:t>
      </w:r>
    </w:p>
    <w:p>
      <w:pPr>
        <w:pStyle w:val="Normal"/>
        <w:spacing w:before="0" w:after="160"/>
        <w:jc w:val="both"/>
        <w:rPr>
          <w:rFonts w:cs="Arial"/>
          <w:kern w:val="2"/>
          <w14:ligatures w14:val="standardContextual"/>
        </w:rPr>
      </w:pPr>
      <w:r>
        <w:rPr>
          <w:rFonts w:cs="Arial"/>
          <w:kern w:val="2"/>
          <w14:ligatures w14:val="standardContextual"/>
        </w:rPr>
        <w:t>Statut veřejné vysoké školy bude hlavním vnitřním předpisem vysoké školy s nejvyšší právní silou; ostatní vnitřní předpisy veřejné vysoké školy a vnitřní předpisy součástí vysoké školy s ním budou muset být v souladu a v případě rozporu jiného vnitřního předpisu veřejné vysoké školy nebo součásti se statutem bude mít přednost úprava obsažená ve statutu. Statut vysoké školy:</w:t>
      </w:r>
    </w:p>
    <w:p>
      <w:pPr>
        <w:pStyle w:val="Normal"/>
        <w:numPr>
          <w:ilvl w:val="0"/>
          <w:numId w:val="52"/>
        </w:numPr>
        <w:spacing w:before="0" w:after="160"/>
        <w:contextualSpacing/>
        <w:jc w:val="both"/>
        <w:rPr>
          <w:rFonts w:cs="Arial"/>
          <w:kern w:val="2"/>
          <w14:ligatures w14:val="standardContextual"/>
        </w:rPr>
      </w:pPr>
      <w:r>
        <w:rPr>
          <w:rFonts w:cs="Arial"/>
          <w:kern w:val="2"/>
          <w14:ligatures w14:val="standardContextual"/>
        </w:rPr>
        <w:t>stanoví postavení „dalších orgánů vysoké školy” a jejich složení, způsob obsazování a podmínky zániku funkce jejich členů v mezích daných zákonem,</w:t>
      </w:r>
    </w:p>
    <w:p>
      <w:pPr>
        <w:pStyle w:val="Normal"/>
        <w:numPr>
          <w:ilvl w:val="0"/>
          <w:numId w:val="52"/>
        </w:numPr>
        <w:spacing w:before="0" w:after="160"/>
        <w:contextualSpacing/>
        <w:jc w:val="both"/>
        <w:rPr>
          <w:rFonts w:cs="Arial"/>
          <w:kern w:val="2"/>
          <w14:ligatures w14:val="standardContextual"/>
        </w:rPr>
      </w:pPr>
      <w:r>
        <w:rPr>
          <w:rFonts w:cs="Arial"/>
          <w:kern w:val="2"/>
          <w14:ligatures w14:val="standardContextual"/>
        </w:rPr>
        <w:t>ukotví další vnitřní předpisy vysokých škol a stanoví způsob jejich přípravy a schvalování, a to včetně předpisů, které:</w:t>
      </w:r>
    </w:p>
    <w:p>
      <w:pPr>
        <w:pStyle w:val="Normal"/>
        <w:numPr>
          <w:ilvl w:val="1"/>
          <w:numId w:val="52"/>
        </w:numPr>
        <w:spacing w:before="0" w:after="160"/>
        <w:contextualSpacing/>
        <w:jc w:val="both"/>
        <w:rPr>
          <w:rFonts w:cs="Arial"/>
          <w:kern w:val="2"/>
          <w14:ligatures w14:val="standardContextual"/>
        </w:rPr>
      </w:pPr>
      <w:r>
        <w:rPr>
          <w:rFonts w:cs="Arial"/>
          <w:kern w:val="2"/>
          <w14:ligatures w14:val="standardContextual"/>
        </w:rPr>
        <w:t>upřesňují průběh výběrového řízení pro určení kandidáta navrhovaného na rektora a podmínky zániku jeho funkce,</w:t>
      </w:r>
    </w:p>
    <w:p>
      <w:pPr>
        <w:pStyle w:val="Normal"/>
        <w:numPr>
          <w:ilvl w:val="1"/>
          <w:numId w:val="52"/>
        </w:numPr>
        <w:spacing w:before="0" w:after="160"/>
        <w:contextualSpacing/>
        <w:jc w:val="both"/>
        <w:rPr>
          <w:rFonts w:cs="Arial"/>
          <w:kern w:val="2"/>
          <w14:ligatures w14:val="standardContextual"/>
        </w:rPr>
      </w:pPr>
      <w:r>
        <w:rPr>
          <w:rFonts w:cs="Arial"/>
          <w:kern w:val="2"/>
          <w14:ligatures w14:val="standardContextual"/>
        </w:rPr>
        <w:t>upřesňují průběh výběrového řízení pro obsazení vedoucího pracovního místa děkana a podmínky zániku jeho funkce,</w:t>
      </w:r>
    </w:p>
    <w:p>
      <w:pPr>
        <w:pStyle w:val="Normal"/>
        <w:numPr>
          <w:ilvl w:val="1"/>
          <w:numId w:val="52"/>
        </w:numPr>
        <w:spacing w:before="0" w:after="160"/>
        <w:contextualSpacing/>
        <w:jc w:val="both"/>
        <w:rPr>
          <w:rFonts w:cs="Arial"/>
          <w:kern w:val="2"/>
          <w14:ligatures w14:val="standardContextual"/>
        </w:rPr>
      </w:pPr>
      <w:r>
        <w:rPr>
          <w:rFonts w:cs="Arial"/>
          <w:kern w:val="2"/>
          <w14:ligatures w14:val="standardContextual"/>
        </w:rPr>
        <w:t>upřesňují průběh volby do akademického senátu vysoké školy a případných dalších orgánů obsazovaných volbou,</w:t>
      </w:r>
    </w:p>
    <w:p>
      <w:pPr>
        <w:pStyle w:val="Normal"/>
        <w:numPr>
          <w:ilvl w:val="1"/>
          <w:numId w:val="52"/>
        </w:numPr>
        <w:spacing w:before="0" w:after="160"/>
        <w:contextualSpacing/>
        <w:jc w:val="both"/>
        <w:rPr>
          <w:rFonts w:cs="Arial"/>
          <w:kern w:val="2"/>
          <w14:ligatures w14:val="standardContextual"/>
        </w:rPr>
      </w:pPr>
      <w:r>
        <w:rPr>
          <w:rFonts w:cs="Arial"/>
          <w:kern w:val="2"/>
          <w14:ligatures w14:val="standardContextual"/>
        </w:rPr>
        <w:t>stanovují pravidla vysoké školy v oblasti personálního řízení, včetně pravidel pro hodnocení, odměňování a kariérní postup pracovníků a obsazování pracovních pozic,</w:t>
      </w:r>
    </w:p>
    <w:p>
      <w:pPr>
        <w:pStyle w:val="Normal"/>
        <w:numPr>
          <w:ilvl w:val="1"/>
          <w:numId w:val="52"/>
        </w:numPr>
        <w:spacing w:before="0" w:after="160"/>
        <w:contextualSpacing/>
        <w:jc w:val="both"/>
        <w:rPr>
          <w:rFonts w:cs="Arial"/>
          <w:kern w:val="2"/>
          <w14:ligatures w14:val="standardContextual"/>
        </w:rPr>
      </w:pPr>
      <w:r>
        <w:rPr>
          <w:rFonts w:cs="Arial"/>
          <w:kern w:val="2"/>
          <w14:ligatures w14:val="standardContextual"/>
        </w:rPr>
        <w:t>upravují vnitřní systém zabezpečování a hodnocení kvality vzdělávací, tvůrčí a souvisejících činností vysoké školy,</w:t>
      </w:r>
    </w:p>
    <w:p>
      <w:pPr>
        <w:pStyle w:val="Normal"/>
        <w:numPr>
          <w:ilvl w:val="1"/>
          <w:numId w:val="52"/>
        </w:numPr>
        <w:spacing w:before="0" w:after="160"/>
        <w:contextualSpacing/>
        <w:jc w:val="both"/>
        <w:rPr>
          <w:rFonts w:cs="Arial"/>
          <w:kern w:val="2"/>
          <w14:ligatures w14:val="standardContextual"/>
        </w:rPr>
      </w:pPr>
      <w:r>
        <w:rPr>
          <w:rFonts w:cs="Arial"/>
          <w:kern w:val="2"/>
          <w14:ligatures w14:val="standardContextual"/>
        </w:rPr>
        <w:t>upravují jednací řády jednotlivých orgánů vysoké školy a jejích součástí,</w:t>
      </w:r>
    </w:p>
    <w:p>
      <w:pPr>
        <w:pStyle w:val="Normal"/>
        <w:numPr>
          <w:ilvl w:val="1"/>
          <w:numId w:val="52"/>
        </w:numPr>
        <w:spacing w:before="0" w:after="160"/>
        <w:contextualSpacing/>
        <w:jc w:val="both"/>
        <w:rPr>
          <w:rFonts w:cs="Arial"/>
          <w:kern w:val="2"/>
          <w14:ligatures w14:val="standardContextual"/>
        </w:rPr>
      </w:pPr>
      <w:r>
        <w:rPr>
          <w:rFonts w:cs="Arial"/>
          <w:kern w:val="2"/>
          <w14:ligatures w14:val="standardContextual"/>
        </w:rPr>
        <w:t>upravují práva a povinnosti studentů a organizaci studia, včetně pravidel pro řešení stížností, odvolání a disciplinárních přestupků, při respektování přednostního užití správního řádu.</w:t>
      </w:r>
    </w:p>
    <w:p>
      <w:pPr>
        <w:pStyle w:val="Normal"/>
        <w:numPr>
          <w:ilvl w:val="1"/>
          <w:numId w:val="52"/>
        </w:numPr>
        <w:spacing w:before="0" w:after="160"/>
        <w:contextualSpacing/>
        <w:jc w:val="both"/>
        <w:rPr>
          <w:rFonts w:cs="Arial"/>
          <w:kern w:val="2"/>
          <w14:ligatures w14:val="standardContextual"/>
        </w:rPr>
      </w:pPr>
      <w:r>
        <w:rPr>
          <w:rFonts w:cs="Arial"/>
          <w:kern w:val="2"/>
          <w14:ligatures w14:val="standardContextual"/>
        </w:rPr>
        <w:t>upřesňují pravidla pro hospodaření vysoké školy a nakládání s majetkem,</w:t>
      </w:r>
    </w:p>
    <w:p>
      <w:pPr>
        <w:pStyle w:val="Normal"/>
        <w:numPr>
          <w:ilvl w:val="0"/>
          <w:numId w:val="52"/>
        </w:numPr>
        <w:spacing w:before="0" w:after="160"/>
        <w:contextualSpacing/>
        <w:jc w:val="both"/>
        <w:rPr>
          <w:rFonts w:cs="Arial"/>
          <w:kern w:val="2"/>
          <w14:ligatures w14:val="standardContextual"/>
        </w:rPr>
      </w:pPr>
      <w:r>
        <w:rPr>
          <w:rFonts w:cs="Arial"/>
          <w:kern w:val="2"/>
          <w14:ligatures w14:val="standardContextual"/>
        </w:rPr>
        <w:t>stanoví pravidla pro delegaci pravomocí rektora na děkany, případně jiné vedoucí zaměstnance, a pro suspendaci těchto pravomocí.</w:t>
      </w:r>
    </w:p>
    <w:p>
      <w:pPr>
        <w:pStyle w:val="Normal"/>
        <w:spacing w:before="0" w:after="160"/>
        <w:jc w:val="both"/>
        <w:rPr>
          <w:rFonts w:cs="Arial"/>
          <w:kern w:val="2"/>
          <w14:ligatures w14:val="standardContextual"/>
        </w:rPr>
      </w:pPr>
      <w:r>
        <w:rPr>
          <w:rFonts w:cs="Arial"/>
          <w:kern w:val="2"/>
          <w14:ligatures w14:val="standardContextual"/>
        </w:rPr>
      </w:r>
    </w:p>
    <w:p>
      <w:pPr>
        <w:pStyle w:val="Normal"/>
        <w:spacing w:before="0" w:after="160"/>
        <w:jc w:val="both"/>
        <w:rPr>
          <w:rFonts w:cs="Arial"/>
          <w:kern w:val="2"/>
          <w14:ligatures w14:val="standardContextual"/>
        </w:rPr>
      </w:pPr>
      <w:r>
        <w:rPr>
          <w:rFonts w:cs="Arial"/>
          <w:kern w:val="2"/>
          <w14:ligatures w14:val="standardContextual"/>
        </w:rPr>
        <w:t>Statut veřejné vysoké školy bude schvalovat univerzitní rada. Ostatní vnitřní předpisy vysoké školy bude schvalovat buď univerzitní rada, nebo akademický senát vysoké školy. Zákon přesně vymezí, který vnitřní předpis schvaluje který orgán.</w:t>
      </w:r>
    </w:p>
    <w:p>
      <w:pPr>
        <w:pStyle w:val="Normal"/>
        <w:spacing w:before="0" w:after="160"/>
        <w:jc w:val="both"/>
        <w:rPr>
          <w:rFonts w:cs="Arial"/>
          <w:kern w:val="2"/>
          <w14:ligatures w14:val="standardContextual"/>
        </w:rPr>
      </w:pPr>
      <w:r>
        <w:rPr>
          <w:rFonts w:cs="Arial"/>
          <w:kern w:val="2"/>
          <w14:ligatures w14:val="standardContextual"/>
        </w:rPr>
        <w:t>Statut veřejné vysoké školy a jeho změny (na rozdíl od ostatních vnitřních předpisů vysoké školy a jejich změn) budou podléhat registraci ministerstvem. To může žádost o registraci statutu nebo jeho změn zamítnout, pokud je statut nebo jeho změna v rozporu se zákonem o vysokých školách nebo s jinými právními předpisy. Registrací nabude statut nebo jeho změna platnosti.</w:t>
      </w:r>
    </w:p>
    <w:p>
      <w:pPr>
        <w:pStyle w:val="Normal"/>
        <w:spacing w:lineRule="auto" w:line="257" w:before="120" w:after="120"/>
        <w:jc w:val="both"/>
        <w:rPr>
          <w:rFonts w:cs="Arial"/>
          <w:kern w:val="2"/>
          <w14:ligatures w14:val="standardContextual"/>
        </w:rPr>
      </w:pPr>
      <w:r>
        <w:rPr>
          <w:rFonts w:cs="Arial"/>
          <w:kern w:val="2"/>
          <w14:ligatures w14:val="standardContextual"/>
        </w:rPr>
      </w:r>
    </w:p>
    <w:p>
      <w:pPr>
        <w:pStyle w:val="Normal"/>
        <w:spacing w:lineRule="auto" w:line="257" w:before="120" w:after="120"/>
        <w:jc w:val="both"/>
        <w:rPr>
          <w:rFonts w:eastAsia="MS PGothic" w:cs="Arial"/>
          <w:b/>
          <w:bCs/>
          <w:kern w:val="2"/>
          <w14:ligatures w14:val="standardContextual"/>
        </w:rPr>
      </w:pPr>
      <w:r>
        <w:rPr>
          <w:rFonts w:eastAsia="MS PGothic" w:cs="Arial"/>
          <w:b/>
          <w:bCs/>
          <w:kern w:val="2"/>
          <w14:ligatures w14:val="standardContextual"/>
        </w:rPr>
        <w:t>Dohled ministerstva nad vnitřními předpisy veřejné vysoké školy</w:t>
      </w:r>
    </w:p>
    <w:p>
      <w:pPr>
        <w:pStyle w:val="Normal"/>
        <w:spacing w:lineRule="auto" w:line="257" w:before="120" w:after="120"/>
        <w:jc w:val="both"/>
        <w:rPr>
          <w:rFonts w:eastAsia="MS PGothic" w:cs="Arial"/>
          <w:kern w:val="2"/>
          <w14:ligatures w14:val="standardContextual"/>
        </w:rPr>
      </w:pPr>
      <w:r>
        <w:rPr>
          <w:rFonts w:eastAsia="MS PGothic" w:cs="Arial"/>
          <w:kern w:val="2"/>
          <w14:ligatures w14:val="standardContextual"/>
        </w:rPr>
        <w:t>Ministr školství, mládeže a tělovýchovy (dále také “ministr školství” nebo „ministr“) bude oprávněn podat návrh na přezkoumání a zrušení registrovaného statutu nebo jeho části soudem podle soudního řádu správního, pokud shledá rozpor registrovaného statutu veřejné vysoké školy nebo jeho části se zákonem nebo jiným právním předpisem. Shledá-li ministr školství, že jsou důvody pro podání takového návrhu soudu, vyzve veřejnou vysokou školu, aby v jím stanovené lhůtě zjednala nápravu; návrh bude moci podat až po marném uplynutí této lhůty.</w:t>
      </w:r>
    </w:p>
    <w:p>
      <w:pPr>
        <w:pStyle w:val="Normal"/>
        <w:spacing w:lineRule="auto" w:line="257" w:before="120" w:after="120"/>
        <w:jc w:val="both"/>
        <w:rPr>
          <w:rFonts w:ascii="Aptos" w:hAnsi="Aptos" w:eastAsia="Aptos" w:cs="Aptos"/>
          <w:kern w:val="2"/>
          <w:sz w:val="24"/>
          <w:szCs w:val="24"/>
          <w14:ligatures w14:val="standardContextual"/>
        </w:rPr>
      </w:pPr>
      <w:r>
        <w:rPr>
          <w:rFonts w:cs="Arial"/>
          <w:kern w:val="2"/>
          <w14:ligatures w14:val="standardContextual"/>
        </w:rPr>
        <w:t xml:space="preserve">Jiný vnitřní předpis veřejné vysoké školy, než statut registraci ministerstvem školství podléhat nebude. Ministerstvo bude ale moci </w:t>
      </w:r>
      <w:r>
        <w:rPr>
          <w:rFonts w:eastAsia="MS PGothic" w:cs="Arial"/>
          <w:kern w:val="2"/>
          <w14:ligatures w14:val="standardContextual"/>
        </w:rPr>
        <w:t>přezkoumat soulad tohoto jiného vnitřního předpisu veřejné vysoké školy se zákonem o vysokých školách, ostatními právními předpisy a statutem veřejné vysoké školy. Zjistí-li ministerstvo rozpor, vyzve veřejnou vysokou školu, aby uvedla vnitřní předpis do souladu s právním řádem nebo statutem. Neodstraní-li veřejná vysoká škola rozpor ve stanovené lhůtě, rozhodne ministerstvo o zrušení dotčených ustanovení vnitřního předpisu, popřípadě vnitřního předpisu jako celku. Proti rozhodnutí ministerstva bude možno podat žalobu podle soudního řádu správního.</w:t>
      </w:r>
    </w:p>
    <w:p>
      <w:pPr>
        <w:pStyle w:val="Normal"/>
        <w:keepNext w:val="true"/>
        <w:keepLines/>
        <w:numPr>
          <w:ilvl w:val="0"/>
          <w:numId w:val="0"/>
        </w:numPr>
        <w:suppressAutoHyphens w:val="true"/>
        <w:spacing w:before="320" w:after="160"/>
        <w:jc w:val="both"/>
        <w:outlineLvl w:val="4"/>
        <w:rPr>
          <w:rFonts w:eastAsia="MS PGothic" w:cs="Arial"/>
          <w:b/>
          <w:bCs/>
          <w:kern w:val="2"/>
          <w14:ligatures w14:val="standardContextual"/>
        </w:rPr>
      </w:pPr>
      <w:r>
        <w:rPr>
          <w:rFonts w:eastAsia="MS PGothic" w:cs="Arial"/>
          <w:b/>
          <w:bCs/>
          <w:kern w:val="2"/>
          <w14:ligatures w14:val="standardContextual"/>
        </w:rPr>
        <w:t>4.1.3 Orgány a funkcionáři veřejné vysoké školy (a jejích součástí), vedoucí zaměstnanci a pověřené osoby, jejich působnost a pravomoci</w:t>
      </w:r>
    </w:p>
    <w:p>
      <w:pPr>
        <w:pStyle w:val="Normal"/>
        <w:spacing w:lineRule="auto" w:line="257" w:before="120" w:after="120"/>
        <w:jc w:val="both"/>
        <w:rPr>
          <w:rFonts w:cs="Arial"/>
          <w:kern w:val="2"/>
          <w14:ligatures w14:val="standardContextual"/>
        </w:rPr>
      </w:pPr>
      <w:r>
        <w:rPr>
          <w:rFonts w:cs="Arial"/>
          <w:b/>
          <w:bCs/>
          <w:kern w:val="2"/>
          <w14:ligatures w14:val="standardContextual"/>
        </w:rPr>
        <w:t>Veřejná vysoká škola bude mít zejména tyto orgány:</w:t>
      </w:r>
    </w:p>
    <w:p>
      <w:pPr>
        <w:pStyle w:val="Normal"/>
        <w:spacing w:lineRule="auto" w:line="257" w:before="120" w:after="120"/>
        <w:jc w:val="both"/>
        <w:rPr>
          <w:rFonts w:cs="Arial"/>
          <w:kern w:val="2"/>
          <w14:ligatures w14:val="standardContextual"/>
        </w:rPr>
      </w:pPr>
      <w:r>
        <w:rPr>
          <w:rFonts w:cs="Arial"/>
          <w:kern w:val="2"/>
          <w14:ligatures w14:val="standardContextual"/>
        </w:rPr>
        <w:t xml:space="preserve">a) stálé centrální akademické orgány vysoké školy: </w:t>
      </w:r>
    </w:p>
    <w:p>
      <w:pPr>
        <w:pStyle w:val="Normal"/>
        <w:spacing w:lineRule="auto" w:line="257" w:before="120" w:after="120"/>
        <w:ind w:start="426"/>
        <w:jc w:val="both"/>
        <w:rPr>
          <w:rFonts w:cs="Arial"/>
          <w:kern w:val="2"/>
          <w14:ligatures w14:val="standardContextual"/>
        </w:rPr>
      </w:pPr>
      <w:r>
        <w:rPr>
          <w:rFonts w:cs="Arial"/>
          <w:kern w:val="2"/>
          <w14:ligatures w14:val="standardContextual"/>
        </w:rPr>
        <w:t>1. univerzitní rada nebo na neuniverzitní vysoké škole</w:t>
      </w:r>
      <w:r>
        <w:rPr>
          <w:rFonts w:cs="Arial"/>
          <w:color w:val="0070C0"/>
          <w:kern w:val="2"/>
          <w14:ligatures w14:val="standardContextual"/>
        </w:rPr>
        <w:t xml:space="preserve"> </w:t>
      </w:r>
      <w:r>
        <w:rPr>
          <w:rFonts w:cs="Arial"/>
          <w:kern w:val="2"/>
          <w14:ligatures w14:val="standardContextual"/>
        </w:rPr>
        <w:t>strategická</w:t>
      </w:r>
      <w:r>
        <w:rPr>
          <w:rFonts w:cs="Arial"/>
          <w:color w:val="0070C0"/>
          <w:kern w:val="2"/>
          <w14:ligatures w14:val="standardContextual"/>
        </w:rPr>
        <w:t xml:space="preserve"> </w:t>
      </w:r>
      <w:r>
        <w:rPr>
          <w:rFonts w:cs="Arial"/>
          <w:kern w:val="2"/>
          <w14:ligatures w14:val="standardContextual"/>
        </w:rPr>
        <w:t>rada (dále jen „univerzitní rada“),</w:t>
      </w:r>
    </w:p>
    <w:p>
      <w:pPr>
        <w:pStyle w:val="Normal"/>
        <w:spacing w:lineRule="auto" w:line="257" w:before="120" w:after="120"/>
        <w:ind w:start="426"/>
        <w:jc w:val="both"/>
        <w:rPr>
          <w:rFonts w:cs="Arial"/>
          <w:kern w:val="2"/>
          <w14:ligatures w14:val="standardContextual"/>
        </w:rPr>
      </w:pPr>
      <w:r>
        <w:rPr>
          <w:rFonts w:cs="Arial"/>
          <w:kern w:val="2"/>
          <w14:ligatures w14:val="standardContextual"/>
        </w:rPr>
        <w:t xml:space="preserve">2. rektor, </w:t>
      </w:r>
    </w:p>
    <w:p>
      <w:pPr>
        <w:pStyle w:val="Normal"/>
        <w:spacing w:lineRule="auto" w:line="257" w:before="120" w:after="120"/>
        <w:ind w:start="426"/>
        <w:jc w:val="both"/>
        <w:rPr>
          <w:rFonts w:cs="Arial"/>
          <w:kern w:val="2"/>
          <w14:ligatures w14:val="standardContextual"/>
        </w:rPr>
      </w:pPr>
      <w:r>
        <w:rPr>
          <w:rFonts w:cs="Arial"/>
          <w:kern w:val="2"/>
          <w14:ligatures w14:val="standardContextual"/>
        </w:rPr>
        <w:t xml:space="preserve">3. akademický senát vysoké školy, </w:t>
      </w:r>
    </w:p>
    <w:p>
      <w:pPr>
        <w:pStyle w:val="Normal"/>
        <w:spacing w:lineRule="auto" w:line="257" w:before="120" w:after="120"/>
        <w:jc w:val="both"/>
        <w:rPr>
          <w:rFonts w:cs="Arial"/>
          <w:kern w:val="2"/>
          <w14:ligatures w14:val="standardContextual"/>
        </w:rPr>
      </w:pPr>
      <w:r>
        <w:rPr>
          <w:rFonts w:cs="Arial"/>
          <w:kern w:val="2"/>
          <w14:ligatures w14:val="standardContextual"/>
        </w:rPr>
        <w:t>b) případné další orgány vysoké školy nebo její součásti.</w:t>
      </w:r>
    </w:p>
    <w:p>
      <w:pPr>
        <w:pStyle w:val="Normal"/>
        <w:spacing w:lineRule="auto" w:line="257" w:before="120" w:after="120"/>
        <w:jc w:val="both"/>
        <w:rPr>
          <w:rFonts w:cs="Arial"/>
          <w:kern w:val="2"/>
          <w14:ligatures w14:val="standardContextual"/>
        </w:rPr>
      </w:pPr>
      <w:r>
        <w:rPr>
          <w:rFonts w:cs="Arial"/>
          <w:kern w:val="2"/>
          <w14:ligatures w14:val="standardContextual"/>
        </w:rPr>
        <w:t xml:space="preserve">Vedle akademických funkcionářů (členů jednočlenných nebo vícečlenných akademických nebo dalších orgánů) se budou na řízení veřejné vysoké školy nebo jejích součástí podílet, stanoví-li tak statut vysoké školy, v rozsahu stanoveném statutem vysoké školy nebo opatřením rektora, vedoucí zaměstnanci součástí vysoké školy, například </w:t>
      </w:r>
    </w:p>
    <w:p>
      <w:pPr>
        <w:pStyle w:val="Normal"/>
        <w:numPr>
          <w:ilvl w:val="0"/>
          <w:numId w:val="59"/>
        </w:numPr>
        <w:spacing w:lineRule="auto" w:line="257" w:before="120" w:after="120"/>
        <w:contextualSpacing/>
        <w:jc w:val="both"/>
        <w:rPr>
          <w:rFonts w:cs="Arial"/>
          <w:kern w:val="2"/>
          <w14:ligatures w14:val="standardContextual"/>
        </w:rPr>
      </w:pPr>
      <w:r>
        <w:rPr>
          <w:rFonts w:cs="Arial"/>
          <w:kern w:val="2"/>
          <w14:ligatures w14:val="standardContextual"/>
        </w:rPr>
        <w:t xml:space="preserve">děkani fakult,  </w:t>
      </w:r>
    </w:p>
    <w:p>
      <w:pPr>
        <w:pStyle w:val="Normal"/>
        <w:numPr>
          <w:ilvl w:val="0"/>
          <w:numId w:val="59"/>
        </w:numPr>
        <w:spacing w:lineRule="auto" w:line="257" w:before="120" w:after="120"/>
        <w:contextualSpacing/>
        <w:jc w:val="both"/>
        <w:rPr>
          <w:rFonts w:cs="Arial"/>
          <w:kern w:val="2"/>
          <w14:ligatures w14:val="standardContextual"/>
        </w:rPr>
      </w:pPr>
      <w:r>
        <w:rPr>
          <w:rFonts w:cs="Arial"/>
          <w:kern w:val="2"/>
          <w14:ligatures w14:val="standardContextual"/>
        </w:rPr>
        <w:t>ředitelé vysokoškolských ústavů, ředitelé vysokoškolských zemědělských nebo lesních statků, vedoucí kateder, vedoucí dalších organizačních součástí vysoké školy nebo další vedoucí zaměstnanci.</w:t>
      </w:r>
      <w:bookmarkStart w:id="1" w:name="_Toc228205218"/>
    </w:p>
    <w:p>
      <w:pPr>
        <w:pStyle w:val="Normal"/>
        <w:spacing w:before="160" w:after="160"/>
        <w:jc w:val="both"/>
        <w:rPr>
          <w:rFonts w:cs="Arial"/>
          <w:b/>
          <w:bCs/>
          <w:kern w:val="2"/>
          <w14:ligatures w14:val="standardContextual"/>
        </w:rPr>
      </w:pPr>
      <w:r>
        <w:rPr>
          <w:rFonts w:cs="Arial"/>
          <w:b/>
          <w:bCs/>
          <w:kern w:val="2"/>
          <w14:ligatures w14:val="standardContextual"/>
        </w:rPr>
      </w:r>
    </w:p>
    <w:p>
      <w:pPr>
        <w:pStyle w:val="Normal"/>
        <w:spacing w:before="160" w:after="160"/>
        <w:jc w:val="both"/>
        <w:rPr>
          <w:rFonts w:cs="Arial"/>
          <w:b/>
          <w:bCs/>
          <w:kern w:val="2"/>
          <w14:ligatures w14:val="standardContextual"/>
        </w:rPr>
      </w:pPr>
      <w:r>
        <w:rPr>
          <w:rFonts w:cs="Arial"/>
          <w:b/>
          <w:bCs/>
          <w:kern w:val="2"/>
          <w14:ligatures w14:val="standardContextual"/>
        </w:rPr>
        <w:t>Univerzitní rada</w:t>
      </w:r>
      <w:bookmarkEnd w:id="1"/>
    </w:p>
    <w:p>
      <w:pPr>
        <w:pStyle w:val="Normal"/>
        <w:spacing w:before="0" w:after="160"/>
        <w:jc w:val="both"/>
        <w:rPr>
          <w:rFonts w:eastAsia="MS PGothic" w:cs="Arial"/>
          <w:kern w:val="2"/>
          <w14:ligatures w14:val="standardContextual"/>
        </w:rPr>
      </w:pPr>
      <w:r>
        <w:rPr>
          <w:rFonts w:cs="Arial"/>
          <w:kern w:val="2"/>
          <w14:ligatures w14:val="standardContextual"/>
        </w:rPr>
        <w:t>Univerzitní r</w:t>
      </w:r>
      <w:r>
        <w:rPr>
          <w:rFonts w:eastAsia="MS PGothic" w:cs="Arial"/>
          <w:kern w:val="2"/>
          <w14:ligatures w14:val="standardContextual"/>
        </w:rPr>
        <w:t xml:space="preserve">ada bude orgánem vysoké školy s klíčovými strategickými </w:t>
      </w:r>
      <w:r>
        <w:rPr>
          <w:rFonts w:cs="Arial"/>
          <w:kern w:val="2"/>
          <w14:ligatures w14:val="standardContextual"/>
        </w:rPr>
        <w:t>konstitutivními</w:t>
      </w:r>
      <w:r>
        <w:rPr>
          <w:rFonts w:eastAsia="MS PGothic" w:cs="Arial"/>
          <w:kern w:val="2"/>
          <w14:ligatures w14:val="standardContextual"/>
        </w:rPr>
        <w:t xml:space="preserve"> a rozpočtovými pravomocemi, který bude určovat strategické směřování vysoké školy a kontrolovat jeho naplňování a řídit proces výběru rektora. </w:t>
      </w:r>
    </w:p>
    <w:p>
      <w:pPr>
        <w:pStyle w:val="Normal"/>
        <w:spacing w:before="0" w:after="160"/>
        <w:jc w:val="both"/>
        <w:rPr>
          <w:rFonts w:cs="Arial"/>
          <w:kern w:val="2"/>
          <w14:ligatures w14:val="standardContextual"/>
        </w:rPr>
      </w:pPr>
      <w:bookmarkStart w:id="2" w:name="_Toc228205219"/>
      <w:r>
        <w:rPr>
          <w:rFonts w:cs="Arial"/>
          <w:kern w:val="2"/>
          <w14:ligatures w14:val="standardContextual"/>
        </w:rPr>
        <w:t>Působnost a pravomoci univerzitní rady</w:t>
      </w:r>
    </w:p>
    <w:p>
      <w:pPr>
        <w:pStyle w:val="Normal"/>
        <w:spacing w:before="0" w:after="160"/>
        <w:jc w:val="both"/>
        <w:rPr>
          <w:rFonts w:cs="Arial"/>
          <w:kern w:val="2"/>
          <w:u w:val="single"/>
          <w14:ligatures w14:val="standardContextual"/>
        </w:rPr>
      </w:pPr>
      <w:r>
        <w:rPr>
          <w:rFonts w:cs="Arial"/>
          <w:kern w:val="2"/>
          <w14:ligatures w14:val="standardContextual"/>
        </w:rPr>
        <w:t>Univerzitní rada bude:</w:t>
      </w:r>
    </w:p>
    <w:p>
      <w:pPr>
        <w:pStyle w:val="Normal"/>
        <w:numPr>
          <w:ilvl w:val="0"/>
          <w:numId w:val="60"/>
        </w:numPr>
        <w:spacing w:lineRule="auto" w:line="259" w:before="0" w:after="160"/>
        <w:contextualSpacing/>
        <w:jc w:val="both"/>
        <w:rPr>
          <w:rFonts w:cs="Arial"/>
          <w:kern w:val="2"/>
          <w14:ligatures w14:val="standardContextual"/>
        </w:rPr>
      </w:pPr>
      <w:r>
        <w:rPr>
          <w:rFonts w:cs="Arial"/>
          <w:kern w:val="2"/>
          <w14:ligatures w14:val="standardContextual"/>
        </w:rPr>
        <w:t>schvalovat na návrh rektora po předchozím projednání v akademickém senátu vysoké školy statut vysoké školy a další vnitřní předpisy veřejné vysoké školy a schvalovat vnitřní předpisy fakult a dalších součástí veřejné vysoké školy; v předloženém návrhu vnitřních předpisů nebude univerzitní rada moci před schválením provádět bez souhlasu rektora/navrhovatele předpisu a projednání v akademickém senátu vysoké školy  jiné změny než opravu data v účinnosti návrhu předpisu a jeho legislativně technických, gramatických nebo písemných chyb; univerzitní rada může předkladateli podat podnět na změny předloženého návrhu,</w:t>
      </w:r>
    </w:p>
    <w:p>
      <w:pPr>
        <w:pStyle w:val="Normal"/>
        <w:numPr>
          <w:ilvl w:val="0"/>
          <w:numId w:val="60"/>
        </w:numPr>
        <w:spacing w:lineRule="auto" w:line="259" w:before="0" w:after="160"/>
        <w:contextualSpacing/>
        <w:jc w:val="both"/>
        <w:rPr>
          <w:rFonts w:cs="Arial"/>
          <w:kern w:val="2"/>
          <w14:ligatures w14:val="standardContextual"/>
        </w:rPr>
      </w:pPr>
      <w:r>
        <w:rPr>
          <w:rFonts w:cs="Arial"/>
          <w:kern w:val="2"/>
          <w14:ligatures w14:val="standardContextual"/>
        </w:rPr>
        <w:t xml:space="preserve">řídit výběr kandidáta na rektora vysoké školy a vybraného kandidáta navrhovat prezidentu republiky ke jmenování; ze zákonem stanovených důvodů, případně kvalifikovanou většinou i bez důvodu, bude univerzitní rada moci navrhnout prezidentu republiky, aby rektora odvolal, </w:t>
      </w:r>
    </w:p>
    <w:p>
      <w:pPr>
        <w:pStyle w:val="Normal"/>
        <w:numPr>
          <w:ilvl w:val="0"/>
          <w:numId w:val="60"/>
        </w:numPr>
        <w:spacing w:lineRule="auto" w:line="259" w:before="0" w:after="160"/>
        <w:contextualSpacing/>
        <w:jc w:val="both"/>
        <w:rPr>
          <w:rFonts w:cs="Arial"/>
          <w:kern w:val="2"/>
          <w14:ligatures w14:val="standardContextual"/>
        </w:rPr>
      </w:pPr>
      <w:r>
        <w:rPr>
          <w:rFonts w:cs="Arial"/>
          <w:kern w:val="2"/>
          <w14:ligatures w14:val="standardContextual"/>
        </w:rPr>
        <w:t>na návrh rektora schvalovat odvolání děkana nebo navrhovat rektorovi jeho odvolání,</w:t>
      </w:r>
    </w:p>
    <w:p>
      <w:pPr>
        <w:pStyle w:val="Normal"/>
        <w:numPr>
          <w:ilvl w:val="0"/>
          <w:numId w:val="60"/>
        </w:numPr>
        <w:spacing w:lineRule="auto" w:line="259" w:before="0" w:after="160"/>
        <w:contextualSpacing/>
        <w:jc w:val="both"/>
        <w:rPr>
          <w:rFonts w:cs="Arial"/>
          <w:kern w:val="2"/>
          <w14:ligatures w14:val="standardContextual"/>
        </w:rPr>
      </w:pPr>
      <w:r>
        <w:rPr>
          <w:rFonts w:cs="Arial"/>
          <w:kern w:val="2"/>
          <w14:ligatures w14:val="standardContextual"/>
        </w:rPr>
        <w:t>schvalovat strategii vysoké školy a dohlížet na její plnění,</w:t>
      </w:r>
    </w:p>
    <w:p>
      <w:pPr>
        <w:pStyle w:val="Normal"/>
        <w:numPr>
          <w:ilvl w:val="0"/>
          <w:numId w:val="60"/>
        </w:numPr>
        <w:spacing w:lineRule="auto" w:line="259" w:before="0" w:after="160"/>
        <w:contextualSpacing/>
        <w:jc w:val="both"/>
        <w:rPr>
          <w:rFonts w:cs="Arial"/>
          <w:kern w:val="2"/>
          <w14:ligatures w14:val="standardContextual"/>
        </w:rPr>
      </w:pPr>
      <w:r>
        <w:rPr>
          <w:rFonts w:cs="Arial"/>
          <w:kern w:val="2"/>
          <w14:ligatures w14:val="standardContextual"/>
        </w:rPr>
        <w:t>dvoutřetinovou většinou hlasů rozhodovat o zřízení, sloučení nebo zrušení součástí vysoké školy,</w:t>
      </w:r>
    </w:p>
    <w:p>
      <w:pPr>
        <w:pStyle w:val="Normal"/>
        <w:keepLines/>
        <w:numPr>
          <w:ilvl w:val="0"/>
          <w:numId w:val="60"/>
        </w:numPr>
        <w:spacing w:lineRule="auto" w:line="259" w:before="0" w:after="160"/>
        <w:contextualSpacing/>
        <w:jc w:val="both"/>
        <w:rPr>
          <w:rFonts w:cs="Arial"/>
          <w:kern w:val="2"/>
          <w14:ligatures w14:val="standardContextual"/>
        </w:rPr>
      </w:pPr>
      <w:r>
        <w:rPr>
          <w:rFonts w:cs="Arial"/>
          <w:kern w:val="2"/>
          <w14:ligatures w14:val="standardContextual"/>
        </w:rPr>
        <w:t>schvalovat rozpočet vysoké školy, nakládání s majetkem nad zákonem stanovenou hodnotu, v případech vyžadovaných zákonem s předchozím souhlasem ministerstva a po projednání v akademickém senátu, zřizování právnických osob a návazné operace a dohlížet na hospodaření vysoké školy,</w:t>
      </w:r>
    </w:p>
    <w:p>
      <w:pPr>
        <w:pStyle w:val="Normal"/>
        <w:keepLines/>
        <w:numPr>
          <w:ilvl w:val="0"/>
          <w:numId w:val="60"/>
        </w:numPr>
        <w:spacing w:lineRule="auto" w:line="259" w:before="0" w:after="160"/>
        <w:contextualSpacing/>
        <w:jc w:val="both"/>
        <w:rPr>
          <w:rFonts w:cs="Arial"/>
          <w:kern w:val="2"/>
          <w14:ligatures w14:val="standardContextual"/>
        </w:rPr>
      </w:pPr>
      <w:r>
        <w:rPr>
          <w:rFonts w:cs="Arial"/>
          <w:kern w:val="2"/>
          <w14:ligatures w14:val="standardContextual"/>
        </w:rPr>
        <w:t>schvalovat záměr vysoké školy vzít si komerční úvěr/půjčku,</w:t>
      </w:r>
    </w:p>
    <w:p>
      <w:pPr>
        <w:pStyle w:val="Normal"/>
        <w:numPr>
          <w:ilvl w:val="0"/>
          <w:numId w:val="60"/>
        </w:numPr>
        <w:spacing w:lineRule="auto" w:line="278" w:before="160" w:after="160"/>
        <w:contextualSpacing/>
        <w:jc w:val="both"/>
        <w:rPr>
          <w:rFonts w:cs="Arial"/>
          <w:kern w:val="2"/>
          <w14:ligatures w14:val="standardContextual"/>
        </w:rPr>
      </w:pPr>
      <w:r>
        <w:rPr>
          <w:rFonts w:cs="Arial"/>
          <w:kern w:val="2"/>
          <w14:ligatures w14:val="standardContextual"/>
        </w:rPr>
        <w:t>dvoutřetinovou většinou vydat závazné nesouhlasné stanovisko ke jmenování navrženého kandidáta na děkana před jeho jmenováním.</w:t>
      </w:r>
    </w:p>
    <w:p>
      <w:pPr>
        <w:pStyle w:val="Normal"/>
        <w:spacing w:lineRule="auto" w:line="278" w:before="160" w:after="160"/>
        <w:jc w:val="both"/>
        <w:rPr>
          <w:rFonts w:cs="Arial"/>
          <w:kern w:val="2"/>
          <w14:ligatures w14:val="standardContextual"/>
        </w:rPr>
      </w:pPr>
      <w:r>
        <w:rPr>
          <w:rFonts w:cs="Arial"/>
          <w:kern w:val="2"/>
          <w14:ligatures w14:val="standardContextual"/>
        </w:rPr>
      </w:r>
    </w:p>
    <w:p>
      <w:pPr>
        <w:pStyle w:val="Normal"/>
        <w:spacing w:lineRule="auto" w:line="278" w:before="160" w:after="160"/>
        <w:jc w:val="both"/>
        <w:rPr>
          <w:rFonts w:cs="Arial"/>
          <w:kern w:val="2"/>
          <w14:ligatures w14:val="standardContextual"/>
        </w:rPr>
      </w:pPr>
      <w:r>
        <w:rPr>
          <w:rFonts w:cs="Arial"/>
          <w:kern w:val="2"/>
          <w14:ligatures w14:val="standardContextual"/>
        </w:rPr>
        <w:t>Univerzitní rada bude zasedat nejméně šestkrát do roka. Činnost člena univerzitní rady bude úkonem v obecném zájmu a za výkon funkce mu veřejná vysoká škola bude poskytovat odměnu. Měsíční výše odměny bude novým zákonem stanovena jako součin průměrné hrubé měsíční nominální mzdy na přepočtené počty zaměstnanců v národním hospodářství dosažené podle zveřejněných údajů Českého statistického úřadu za předminulý kalendářní rok a příslušného koeficientu; koeficient bude v případě předsedy univerzitní rady roven hodnotě 1, v případě místopředsedy univerzitní rady roven hodnotě ½ a v případě ostatních členů univerzitní rady roven hodnotě ⅓.</w:t>
      </w:r>
    </w:p>
    <w:p>
      <w:pPr>
        <w:pStyle w:val="Normal"/>
        <w:spacing w:before="0" w:after="160"/>
        <w:jc w:val="both"/>
        <w:rPr>
          <w:rFonts w:cs="Arial"/>
          <w:kern w:val="2"/>
          <w14:ligatures w14:val="standardContextual"/>
        </w:rPr>
      </w:pPr>
      <w:r>
        <w:rPr>
          <w:rFonts w:cs="Arial"/>
          <w:kern w:val="2"/>
          <w14:ligatures w14:val="standardContextual"/>
        </w:rPr>
        <w:t>Členu univerzitní rady budou příslušet cestovní náhrady ve stejném rozsahu, výši a za podmínek jako zaměstnancům v pracovním poměru s tím, že za pravidelné pracoviště se bude považovat místo jejich pobytu. Cestovní náhrady bude poskytovat veřejná vysoká škola, přičemž § 206 odst. 3 a 4 zákoníku práce se nepoužije.</w:t>
      </w:r>
    </w:p>
    <w:p>
      <w:pPr>
        <w:pStyle w:val="Normal"/>
        <w:spacing w:before="0" w:after="160"/>
        <w:jc w:val="both"/>
        <w:rPr>
          <w:rFonts w:cs="Arial"/>
          <w:kern w:val="2"/>
          <w14:ligatures w14:val="standardContextual"/>
        </w:rPr>
      </w:pPr>
      <w:bookmarkStart w:id="3" w:name="_Toc228205247"/>
      <w:r>
        <w:rPr>
          <w:rFonts w:cs="Arial"/>
          <w:kern w:val="2"/>
          <w14:ligatures w14:val="standardContextual"/>
        </w:rPr>
        <w:t>Člen univerzitní rady bude povinen vykonávat svou funkci s péčí řádného hospodáře. Na jeho odpovědnost za škodu způsobenou vysoké škole se použije § 159 občanského zákoníku přiměřeně. Pro účely odpovědnosti za škodu způsobenou z nedbalosti nesmí výše náhrady škody, kterou je povinen nahradit jednotlivý člen univerzitní rady, přesáhnout desetinásobek měsíční odměny, která mu náleží za výkon funkce v době, kdy k události došlo. Tento limit se neuplatní, pokud byla škoda způsobena úmyslně, nebo pokud jí byl člen univerzitní rady nebo osoba jemu blízká sám zvýhodněn.</w:t>
      </w:r>
    </w:p>
    <w:p>
      <w:pPr>
        <w:pStyle w:val="Normal"/>
        <w:spacing w:before="0" w:after="160"/>
        <w:jc w:val="both"/>
        <w:rPr>
          <w:rFonts w:cs="Arial"/>
          <w:kern w:val="2"/>
          <w14:ligatures w14:val="standardContextual"/>
        </w:rPr>
      </w:pPr>
      <w:r>
        <w:rPr>
          <w:rFonts w:cs="Arial"/>
          <w:kern w:val="2"/>
          <w14:ligatures w14:val="standardContextual"/>
        </w:rPr>
        <w:t>Složení univerzitní rady</w:t>
      </w:r>
      <w:bookmarkEnd w:id="3"/>
      <w:r>
        <w:rPr>
          <w:rFonts w:cs="Arial"/>
          <w:kern w:val="2"/>
          <w14:ligatures w14:val="standardContextual"/>
        </w:rPr>
        <w:t xml:space="preserve"> a způsob obsazování funkčních míst členů univerzitní rady</w:t>
      </w:r>
    </w:p>
    <w:p>
      <w:pPr>
        <w:pStyle w:val="Normal"/>
        <w:spacing w:before="0" w:after="160"/>
        <w:jc w:val="both"/>
        <w:rPr>
          <w:rFonts w:ascii="Calibri" w:hAnsi="Calibri" w:eastAsia="Calibri" w:cs="Calibri"/>
          <w:i/>
          <w:iCs/>
          <w:kern w:val="2"/>
          <w:sz w:val="18"/>
          <w:szCs w:val="18"/>
          <w14:ligatures w14:val="standardContextual"/>
        </w:rPr>
      </w:pPr>
      <w:r>
        <w:rPr>
          <w:rFonts w:cs="Arial"/>
          <w:kern w:val="2"/>
          <w14:ligatures w14:val="standardContextual"/>
        </w:rPr>
        <w:t>Univerzitní rada bude mít devět, dvanáct, nebo patnáct členů; členem bude moci být pouze fyzická osoba.</w:t>
      </w:r>
    </w:p>
    <w:p>
      <w:pPr>
        <w:pStyle w:val="Normal"/>
        <w:spacing w:before="0" w:after="160"/>
        <w:jc w:val="both"/>
        <w:rPr>
          <w:rFonts w:cs="Arial"/>
          <w:kern w:val="2"/>
          <w14:ligatures w14:val="standardContextual"/>
        </w:rPr>
      </w:pPr>
      <w:r>
        <w:rPr>
          <w:rFonts w:cs="Arial"/>
          <w:kern w:val="2"/>
          <w14:ligatures w14:val="standardContextual"/>
        </w:rPr>
        <w:t>Členy univerzitní rady bude jmenovat ministr, z toho</w:t>
      </w:r>
    </w:p>
    <w:p>
      <w:pPr>
        <w:pStyle w:val="Normal"/>
        <w:numPr>
          <w:ilvl w:val="0"/>
          <w:numId w:val="45"/>
        </w:numPr>
        <w:spacing w:before="0" w:after="160"/>
        <w:contextualSpacing/>
        <w:jc w:val="both"/>
        <w:rPr>
          <w:rFonts w:cs="Arial"/>
          <w:kern w:val="2"/>
          <w14:ligatures w14:val="standardContextual"/>
        </w:rPr>
      </w:pPr>
      <w:r>
        <w:rPr>
          <w:rFonts w:cs="Arial"/>
          <w:kern w:val="2"/>
          <w14:ligatures w14:val="standardContextual"/>
        </w:rPr>
        <w:t>jednu třetinu členů na návrh akademického senátu vysoké školy,</w:t>
      </w:r>
    </w:p>
    <w:p>
      <w:pPr>
        <w:pStyle w:val="Normal"/>
        <w:numPr>
          <w:ilvl w:val="0"/>
          <w:numId w:val="46"/>
        </w:numPr>
        <w:spacing w:before="0" w:after="160"/>
        <w:contextualSpacing/>
        <w:jc w:val="both"/>
        <w:rPr>
          <w:rFonts w:cs="Arial"/>
          <w:kern w:val="2"/>
          <w14:ligatures w14:val="standardContextual"/>
        </w:rPr>
      </w:pPr>
      <w:r>
        <w:rPr>
          <w:rFonts w:cs="Arial"/>
          <w:kern w:val="2"/>
          <w14:ligatures w14:val="standardContextual"/>
        </w:rPr>
        <w:t>jednu třetinu členů na návrh odborné výběrové komise jmenované ministrem školství,</w:t>
      </w:r>
    </w:p>
    <w:p>
      <w:pPr>
        <w:pStyle w:val="Normal"/>
        <w:numPr>
          <w:ilvl w:val="0"/>
          <w:numId w:val="46"/>
        </w:numPr>
        <w:spacing w:before="0" w:after="160"/>
        <w:contextualSpacing/>
        <w:jc w:val="both"/>
        <w:rPr>
          <w:rFonts w:cs="Arial"/>
          <w:kern w:val="2"/>
          <w14:ligatures w14:val="standardContextual"/>
        </w:rPr>
      </w:pPr>
      <w:r>
        <w:rPr>
          <w:rFonts w:cs="Arial"/>
          <w:kern w:val="2"/>
          <w14:ligatures w14:val="standardContextual"/>
        </w:rPr>
        <w:t>jednu “kooptovanou” třetinu členů na společný návrh členů univerzitní rady jmenovaných podle předchozích dvou bodů, přijímaný většinou jejich hlasů.</w:t>
      </w:r>
    </w:p>
    <w:p>
      <w:pPr>
        <w:pStyle w:val="Normal"/>
        <w:spacing w:before="0" w:after="160"/>
        <w:jc w:val="both"/>
        <w:rPr>
          <w:rFonts w:eastAsia="MS PGothic" w:cs="Arial"/>
          <w:kern w:val="2"/>
          <w14:ligatures w14:val="standardContextual"/>
        </w:rPr>
      </w:pPr>
      <w:r>
        <w:rPr>
          <w:rFonts w:eastAsia="MS PGothic" w:cs="Arial"/>
          <w:kern w:val="2"/>
          <w14:ligatures w14:val="standardContextual"/>
        </w:rPr>
      </w:r>
    </w:p>
    <w:p>
      <w:pPr>
        <w:pStyle w:val="Normal"/>
        <w:spacing w:before="0" w:after="160"/>
        <w:jc w:val="both"/>
        <w:rPr>
          <w:rFonts w:cs="Arial"/>
          <w:kern w:val="2"/>
          <w14:ligatures w14:val="standardContextual"/>
        </w:rPr>
      </w:pPr>
      <w:r>
        <w:rPr>
          <w:rFonts w:eastAsia="MS PGothic" w:cs="Arial"/>
          <w:kern w:val="2"/>
          <w14:ligatures w14:val="standardContextual"/>
        </w:rPr>
        <w:t xml:space="preserve">Ministr vždy jmenuje nominované osoby členy univerzitní rady, ledaže by nesplňovaly podmínky stanovené zákonem pro výkon funkce; v takovém případě si vyžádá nominaci nové osoby. </w:t>
      </w:r>
    </w:p>
    <w:p>
      <w:pPr>
        <w:pStyle w:val="Normal"/>
        <w:spacing w:before="0" w:after="160"/>
        <w:jc w:val="both"/>
        <w:rPr>
          <w:rFonts w:eastAsia="MS PGothic" w:cs="Arial"/>
          <w:kern w:val="2"/>
          <w14:ligatures w14:val="standardContextual"/>
        </w:rPr>
      </w:pPr>
      <w:r>
        <w:rPr>
          <w:rFonts w:eastAsia="MS PGothic" w:cs="Arial"/>
          <w:kern w:val="2"/>
          <w14:ligatures w14:val="standardContextual"/>
        </w:rPr>
        <w:t>Akademický senát vysoké školy bude své nominanty vybírat a navrhovat ke jmenování z řad členů akademické obce a výzkumných nebo neakademických pracovníků dané vysoké školy. Nebude-li členem univerzitní rady jmenovaným na návrh akademického senátu vysoké školy alespoň jeden student dané vysoké školy, jednání univerzitní rady se bude moci účastnit jako host bez práva hlasovat zástupce studentů dané vysoké školy zvolený akademickým senátem vysoké školy; statut vysoké školy může stanovit, že tohoto zástupce, jímž může být i člen akademického senátu vysoké školy, volí pouze kurie doktorandů a kurie studentů bakalářských a magisterských studijních programů (popř. studentů krátkých programů) akademického senátu vysoké školy.</w:t>
      </w:r>
    </w:p>
    <w:p>
      <w:pPr>
        <w:pStyle w:val="Normal"/>
        <w:spacing w:before="0" w:after="160"/>
        <w:jc w:val="both"/>
        <w:rPr>
          <w:rFonts w:cs="Arial"/>
          <w:kern w:val="2"/>
          <w14:ligatures w14:val="standardContextual"/>
        </w:rPr>
      </w:pPr>
      <w:r>
        <w:rPr>
          <w:rFonts w:cs="Arial"/>
          <w:kern w:val="2"/>
          <w14:ligatures w14:val="standardContextual"/>
        </w:rPr>
        <w:t xml:space="preserve">Odborná výběrová komise jmenovaná ministrem bude své nominanty vybírat a navrhovat ke jmenování z řad uznávaných akademických a jiných vysokoškolských pracovníků nebo výzkumníků z České republiky nebo ze zahraničí působících v oborech, ve kterých daná vysoká škola uskutečňuje svou činnost, a to včetně bývalých členů vedení jiných tuzemských nebo zahraničních vysokých škol a výzkumných institucí. </w:t>
      </w:r>
    </w:p>
    <w:p>
      <w:pPr>
        <w:pStyle w:val="Normal"/>
        <w:spacing w:before="0" w:after="160"/>
        <w:jc w:val="both"/>
        <w:rPr>
          <w:rFonts w:cs="Arial"/>
          <w:color w:val="FF0000"/>
          <w:kern w:val="2"/>
          <w14:ligatures w14:val="standardContextual"/>
        </w:rPr>
      </w:pPr>
      <w:r>
        <w:rPr>
          <w:rFonts w:cs="Arial"/>
          <w:kern w:val="2"/>
          <w14:ligatures w14:val="standardContextual"/>
        </w:rPr>
        <w:t>Odborná výběrová komise bude tvořena osobami jmenovanými ministrem</w:t>
      </w:r>
      <w:r>
        <w:rPr>
          <w:rFonts w:cs="Arial"/>
          <w:color w:val="000000"/>
          <w:kern w:val="2"/>
          <w14:ligatures w14:val="standardContextual"/>
        </w:rPr>
        <w:t>, přičemž ministr může využít doporučení či nominací orgánů reprezentace vysokých škol nebo příslušné vysoké školy, o jejíž univerzitní radu se bude jednat.</w:t>
      </w:r>
    </w:p>
    <w:p>
      <w:pPr>
        <w:pStyle w:val="Normal"/>
        <w:spacing w:before="0" w:after="160"/>
        <w:jc w:val="both"/>
        <w:rPr>
          <w:rFonts w:cs="Arial"/>
          <w:kern w:val="2"/>
          <w14:ligatures w14:val="standardContextual"/>
        </w:rPr>
      </w:pPr>
      <w:r>
        <w:rPr>
          <w:rFonts w:cs="Arial"/>
          <w:kern w:val="2"/>
          <w14:ligatures w14:val="standardContextual"/>
        </w:rPr>
        <w:t>Členové univerzitní rady budou své nominanty do poslední „kooptované“ třetiny členů vybírat a navrhovat ke jmenování ze zástupců:</w:t>
      </w:r>
    </w:p>
    <w:p>
      <w:pPr>
        <w:pStyle w:val="Normal"/>
        <w:keepLines/>
        <w:numPr>
          <w:ilvl w:val="0"/>
          <w:numId w:val="58"/>
        </w:numPr>
        <w:spacing w:lineRule="auto" w:line="259" w:before="0" w:after="160"/>
        <w:contextualSpacing/>
        <w:jc w:val="both"/>
        <w:rPr>
          <w:rFonts w:cs="Arial"/>
          <w:kern w:val="2"/>
          <w14:ligatures w14:val="standardContextual"/>
        </w:rPr>
      </w:pPr>
      <w:r>
        <w:rPr>
          <w:rFonts w:cs="Arial"/>
          <w:kern w:val="2"/>
          <w14:ligatures w14:val="standardContextual"/>
        </w:rPr>
        <w:t>významných zaměstnavatelů absolventů dané vysoké školy,</w:t>
      </w:r>
    </w:p>
    <w:p>
      <w:pPr>
        <w:pStyle w:val="Normal"/>
        <w:keepLines/>
        <w:numPr>
          <w:ilvl w:val="0"/>
          <w:numId w:val="58"/>
        </w:numPr>
        <w:spacing w:lineRule="auto" w:line="259" w:before="0" w:after="160"/>
        <w:contextualSpacing/>
        <w:jc w:val="both"/>
        <w:rPr>
          <w:rFonts w:cs="Arial"/>
          <w:kern w:val="2"/>
          <w14:ligatures w14:val="standardContextual"/>
        </w:rPr>
      </w:pPr>
      <w:r>
        <w:rPr>
          <w:rFonts w:cs="Arial"/>
          <w:kern w:val="2"/>
          <w14:ligatures w14:val="standardContextual"/>
        </w:rPr>
        <w:t>organizací, které jsou odběrateli výsledků tvůrčích činností dané vysoké školy nebo se kterými škola spolupracuje na realizaci projektů tvůrčí činnosti,</w:t>
      </w:r>
    </w:p>
    <w:p>
      <w:pPr>
        <w:pStyle w:val="Normal"/>
        <w:keepLines/>
        <w:numPr>
          <w:ilvl w:val="0"/>
          <w:numId w:val="58"/>
        </w:numPr>
        <w:spacing w:lineRule="auto" w:line="259" w:before="0" w:after="160"/>
        <w:contextualSpacing/>
        <w:jc w:val="both"/>
        <w:rPr>
          <w:rFonts w:cs="Arial"/>
          <w:kern w:val="2"/>
          <w14:ligatures w14:val="standardContextual"/>
        </w:rPr>
      </w:pPr>
      <w:r>
        <w:rPr>
          <w:rFonts w:cs="Arial"/>
          <w:kern w:val="2"/>
          <w14:ligatures w14:val="standardContextual"/>
        </w:rPr>
        <w:t>relevantních veřejných organizací na národní nebo krajské úrovni,</w:t>
      </w:r>
    </w:p>
    <w:p>
      <w:pPr>
        <w:pStyle w:val="Normal"/>
        <w:keepLines/>
        <w:numPr>
          <w:ilvl w:val="0"/>
          <w:numId w:val="58"/>
        </w:numPr>
        <w:spacing w:lineRule="auto" w:line="259" w:before="0" w:after="160"/>
        <w:contextualSpacing/>
        <w:jc w:val="both"/>
        <w:rPr>
          <w:rFonts w:cs="Arial"/>
          <w:kern w:val="2"/>
          <w14:ligatures w14:val="standardContextual"/>
        </w:rPr>
      </w:pPr>
      <w:r>
        <w:rPr>
          <w:rFonts w:cs="Arial"/>
          <w:kern w:val="2"/>
          <w14:ligatures w14:val="standardContextual"/>
        </w:rPr>
        <w:t>absolventských spolků vysoké školy, pokud existují,</w:t>
      </w:r>
    </w:p>
    <w:p>
      <w:pPr>
        <w:pStyle w:val="Normal"/>
        <w:keepLines/>
        <w:numPr>
          <w:ilvl w:val="0"/>
          <w:numId w:val="58"/>
        </w:numPr>
        <w:spacing w:lineRule="auto" w:line="259" w:before="0" w:after="160"/>
        <w:contextualSpacing/>
        <w:jc w:val="both"/>
        <w:rPr>
          <w:rFonts w:cs="Arial"/>
          <w:kern w:val="2"/>
          <w14:ligatures w14:val="standardContextual"/>
        </w:rPr>
      </w:pPr>
      <w:r>
        <w:rPr>
          <w:rFonts w:cs="Arial"/>
          <w:kern w:val="2"/>
          <w14:ligatures w14:val="standardContextual"/>
        </w:rPr>
        <w:t>organizací občanské společnosti působících v oblastech relevantních pro činnost školy,</w:t>
      </w:r>
    </w:p>
    <w:p>
      <w:pPr>
        <w:pStyle w:val="Normal"/>
        <w:keepLines/>
        <w:numPr>
          <w:ilvl w:val="0"/>
          <w:numId w:val="58"/>
        </w:numPr>
        <w:spacing w:lineRule="auto" w:line="259" w:before="0" w:after="160"/>
        <w:contextualSpacing/>
        <w:jc w:val="both"/>
        <w:rPr>
          <w:rFonts w:cs="Arial"/>
          <w:kern w:val="2"/>
          <w14:ligatures w14:val="standardContextual"/>
        </w:rPr>
      </w:pPr>
      <w:r>
        <w:rPr>
          <w:rFonts w:cs="Arial"/>
          <w:kern w:val="2"/>
          <w14:ligatures w14:val="standardContextual"/>
        </w:rPr>
        <w:t>expertů v oblastech, které členové univerzitní rady vyhodnotí jako klíčové pro strategický rozvoj školy.</w:t>
      </w:r>
    </w:p>
    <w:p>
      <w:pPr>
        <w:pStyle w:val="Normal"/>
        <w:keepLines/>
        <w:spacing w:lineRule="auto" w:line="259" w:before="0" w:after="160"/>
        <w:jc w:val="both"/>
        <w:rPr>
          <w:rFonts w:cs="Arial"/>
          <w:kern w:val="2"/>
          <w14:ligatures w14:val="standardContextual"/>
        </w:rPr>
      </w:pPr>
      <w:r>
        <w:rPr>
          <w:rFonts w:cs="Arial"/>
          <w:kern w:val="2"/>
          <w14:ligatures w14:val="standardContextual"/>
        </w:rPr>
      </w:r>
    </w:p>
    <w:p>
      <w:pPr>
        <w:pStyle w:val="Normal"/>
        <w:keepLines/>
        <w:spacing w:lineRule="auto" w:line="259" w:before="0" w:after="160"/>
        <w:jc w:val="both"/>
        <w:rPr>
          <w:rFonts w:cs="Arial"/>
          <w:kern w:val="2"/>
          <w14:ligatures w14:val="standardContextual"/>
        </w:rPr>
      </w:pPr>
      <w:r>
        <w:rPr>
          <w:rFonts w:cs="Arial"/>
          <w:kern w:val="2"/>
          <w14:ligatures w14:val="standardContextual"/>
        </w:rPr>
        <w:t>Osoby, které budou jmenovány členem univerzitní rady na návrh odborné výběrové komise ministra, nebudou moci:</w:t>
      </w:r>
    </w:p>
    <w:p>
      <w:pPr>
        <w:pStyle w:val="Normal"/>
        <w:keepLines/>
        <w:numPr>
          <w:ilvl w:val="0"/>
          <w:numId w:val="57"/>
        </w:numPr>
        <w:spacing w:lineRule="auto" w:line="259" w:before="0" w:after="160"/>
        <w:contextualSpacing/>
        <w:jc w:val="both"/>
        <w:rPr>
          <w:rFonts w:cs="Arial"/>
          <w:kern w:val="2"/>
          <w14:ligatures w14:val="standardContextual"/>
        </w:rPr>
      </w:pPr>
      <w:r>
        <w:rPr>
          <w:rFonts w:cs="Arial"/>
          <w:kern w:val="2"/>
          <w14:ligatures w14:val="standardContextual"/>
        </w:rPr>
        <w:t>být současnými zaměstnanci ani bývalými zaměstnanci s úvazkem vyšším než 0,25 dané vysoké školy ani členy jejích jiných orgánů,</w:t>
      </w:r>
      <w:r>
        <w:rPr/>
        <w:t xml:space="preserve"> </w:t>
      </w:r>
      <w:r>
        <w:rPr>
          <w:rFonts w:cs="Arial"/>
          <w:kern w:val="2"/>
          <w14:ligatures w14:val="standardContextual"/>
        </w:rPr>
        <w:t>za bývalého zaměstnance se považuje osoba, která ukončila zaměstnání na dané vysoké škole před méně než pěti lety,</w:t>
      </w:r>
    </w:p>
    <w:p>
      <w:pPr>
        <w:pStyle w:val="Normal"/>
        <w:keepLines/>
        <w:numPr>
          <w:ilvl w:val="0"/>
          <w:numId w:val="57"/>
        </w:numPr>
        <w:spacing w:lineRule="auto" w:line="259" w:before="0" w:after="160"/>
        <w:contextualSpacing/>
        <w:jc w:val="both"/>
        <w:rPr>
          <w:rFonts w:cs="Arial"/>
          <w:kern w:val="2"/>
          <w14:ligatures w14:val="standardContextual"/>
        </w:rPr>
      </w:pPr>
      <w:r>
        <w:rPr>
          <w:rFonts w:cs="Arial"/>
          <w:kern w:val="2"/>
          <w14:ligatures w14:val="standardContextual"/>
        </w:rPr>
        <w:t>být s vysokou školou v obchodním nebo v jiném vztahu, který by zakládal střet zájmů,</w:t>
      </w:r>
    </w:p>
    <w:p>
      <w:pPr>
        <w:pStyle w:val="Normal"/>
        <w:keepLines/>
        <w:numPr>
          <w:ilvl w:val="0"/>
          <w:numId w:val="57"/>
        </w:numPr>
        <w:spacing w:lineRule="auto" w:line="259" w:before="0" w:after="160"/>
        <w:contextualSpacing/>
        <w:jc w:val="both"/>
        <w:rPr>
          <w:rFonts w:cs="Arial"/>
          <w:kern w:val="2"/>
          <w14:ligatures w14:val="standardContextual"/>
        </w:rPr>
      </w:pPr>
      <w:r>
        <w:rPr>
          <w:rFonts w:cs="Arial"/>
          <w:kern w:val="2"/>
          <w14:ligatures w14:val="standardContextual"/>
        </w:rPr>
        <w:t>být v době výkonu funkce člena univerzitní rady dané vysoké školy členy nejvyššího vedení jiné vysoké školy (rektor, prorektor, kvestor, děkan, proděkan, tajemník fakulty, ředitel vysokoškolského ústavu) nebo člen vedení výzkumné instituce v ČR.</w:t>
      </w:r>
    </w:p>
    <w:p>
      <w:pPr>
        <w:pStyle w:val="Normal"/>
        <w:keepLines/>
        <w:spacing w:lineRule="auto" w:line="259" w:before="0" w:after="160"/>
        <w:ind w:start="2160"/>
        <w:contextualSpacing/>
        <w:jc w:val="both"/>
        <w:rPr>
          <w:rFonts w:cs="Arial"/>
          <w:kern w:val="2"/>
          <w14:ligatures w14:val="standardContextual"/>
        </w:rPr>
      </w:pPr>
      <w:r>
        <w:rPr>
          <w:rFonts w:cs="Arial"/>
          <w:kern w:val="2"/>
          <w14:ligatures w14:val="standardContextual"/>
        </w:rPr>
      </w:r>
    </w:p>
    <w:p>
      <w:pPr>
        <w:pStyle w:val="Normal"/>
        <w:keepLines/>
        <w:spacing w:lineRule="auto" w:line="259" w:before="160" w:after="160"/>
        <w:contextualSpacing/>
        <w:jc w:val="both"/>
        <w:rPr>
          <w:rFonts w:cs="Arial"/>
          <w:kern w:val="2"/>
          <w14:ligatures w14:val="standardContextual"/>
        </w:rPr>
      </w:pPr>
      <w:r>
        <w:rPr>
          <w:rFonts w:cs="Arial"/>
          <w:kern w:val="2"/>
          <w14:ligatures w14:val="standardContextual"/>
        </w:rPr>
        <w:t>Všechny dotčené orgány při výběru členů zohlední misi, charakter a oborovou strukturu vysoké školy a usilují o vyrovnané zastoupení žen a mužů.</w:t>
      </w:r>
    </w:p>
    <w:p>
      <w:pPr>
        <w:pStyle w:val="Normal"/>
        <w:keepLines/>
        <w:spacing w:lineRule="auto" w:line="259" w:before="160" w:after="160"/>
        <w:contextualSpacing/>
        <w:jc w:val="both"/>
        <w:rPr>
          <w:rFonts w:cs="Arial"/>
          <w:kern w:val="2"/>
          <w14:ligatures w14:val="standardContextual"/>
        </w:rPr>
      </w:pPr>
      <w:r>
        <w:rPr>
          <w:rFonts w:cs="Arial"/>
          <w:kern w:val="2"/>
          <w14:ligatures w14:val="standardContextual"/>
        </w:rPr>
      </w:r>
    </w:p>
    <w:p>
      <w:pPr>
        <w:pStyle w:val="Normal"/>
        <w:keepLines/>
        <w:spacing w:lineRule="auto" w:line="259" w:before="160" w:after="160"/>
        <w:jc w:val="both"/>
        <w:rPr>
          <w:rFonts w:cs="Arial"/>
          <w:kern w:val="2"/>
          <w14:ligatures w14:val="standardContextual"/>
        </w:rPr>
      </w:pPr>
      <w:r>
        <w:rPr>
          <w:rFonts w:cs="Arial"/>
          <w:kern w:val="2"/>
          <w14:ligatures w14:val="standardContextual"/>
        </w:rPr>
        <w:t>Členy univerzitní rady nebudou moci být současní ani bývalí členové vlády, poslanci, senátoři a členové předsednictev politických stran a hnutí, pokud od ukončení jejich působení v dané funkci neuplynulo alespoň  5 let. Funkce člena univerzitní rady vysoké školy není dále slučitelná s funkcí rektora, prorektora, kvestora, děkana, proděkana, tajemníka fakulty, ředitele vysokoškolského ústavu, člena akademického senátu vysoké školy nebo fakulty, člena  orgánu plnícího funkci poradního orgánu rektora v oblasti akademických kariér a personálního řízení (nazvaného například “vědecká rada”) a člena orgánu plnícího funkci poradního orgánu dohlížejícího na kvalitu činností vysoké školy (nazvaného například “rada pro kvalitu” nebo “rada pro vnitřní hodnocení”.</w:t>
      </w:r>
    </w:p>
    <w:p>
      <w:pPr>
        <w:pStyle w:val="Normal"/>
        <w:spacing w:before="0" w:after="160"/>
        <w:jc w:val="both"/>
        <w:rPr>
          <w:rFonts w:cs="Arial"/>
          <w:kern w:val="2"/>
          <w14:ligatures w14:val="standardContextual"/>
        </w:rPr>
      </w:pPr>
      <w:r>
        <w:rPr>
          <w:rFonts w:cs="Arial"/>
          <w:kern w:val="2"/>
          <w14:ligatures w14:val="standardContextual"/>
        </w:rPr>
        <w:t>Žádná osoba nebude moci být současně členem univerzitní rady více než jedné veřejné vysoké školy v ČR.</w:t>
      </w:r>
    </w:p>
    <w:p>
      <w:pPr>
        <w:pStyle w:val="Normal"/>
        <w:spacing w:before="0" w:after="160"/>
        <w:jc w:val="both"/>
        <w:rPr>
          <w:rFonts w:cs="Arial"/>
          <w:kern w:val="2"/>
          <w14:ligatures w14:val="standardContextual"/>
        </w:rPr>
      </w:pPr>
      <w:r>
        <w:rPr>
          <w:rFonts w:cs="Arial"/>
          <w:kern w:val="2"/>
          <w14:ligatures w14:val="standardContextual"/>
        </w:rPr>
        <w:t>Předsedu univerzitní rady si bude univerzitní rada volit sama z řad svých externích členů, za něž budou považováni ti členové univerzitní rady vysoké školy, kteří nejsou zaměstnanci ani studenty dané vysoké školy.</w:t>
      </w:r>
    </w:p>
    <w:p>
      <w:pPr>
        <w:pStyle w:val="Normal"/>
        <w:spacing w:before="0" w:after="160"/>
        <w:jc w:val="both"/>
        <w:rPr>
          <w:rFonts w:cs="Arial"/>
          <w:kern w:val="2"/>
          <w14:ligatures w14:val="standardContextual"/>
        </w:rPr>
      </w:pPr>
      <w:r>
        <w:rPr>
          <w:rFonts w:cs="Arial"/>
          <w:kern w:val="2"/>
          <w14:ligatures w14:val="standardContextual"/>
        </w:rPr>
        <w:t xml:space="preserve">Funkční období člena univerzitní rady bude šestileté. Funkci člena univerzitní rady bude moci tatáž osoba vykonávat na téže veřejné vysoké škole nejvýše 2 po sobě bezprostředně jdoucí funkční období. </w:t>
      </w:r>
    </w:p>
    <w:p>
      <w:pPr>
        <w:pStyle w:val="Normal"/>
        <w:spacing w:before="0" w:after="160"/>
        <w:jc w:val="both"/>
        <w:rPr>
          <w:rFonts w:cs="Arial"/>
          <w:kern w:val="2"/>
          <w14:ligatures w14:val="standardContextual"/>
        </w:rPr>
      </w:pPr>
      <w:r>
        <w:rPr>
          <w:rFonts w:cs="Arial"/>
          <w:kern w:val="2"/>
          <w14:ligatures w14:val="standardContextual"/>
        </w:rPr>
        <w:t>Funkce člena univerzitní rady zanikne:</w:t>
      </w:r>
    </w:p>
    <w:p>
      <w:pPr>
        <w:pStyle w:val="ListParagraph"/>
        <w:numPr>
          <w:ilvl w:val="0"/>
          <w:numId w:val="83"/>
        </w:numPr>
        <w:spacing w:before="0" w:after="160"/>
        <w:contextualSpacing/>
        <w:jc w:val="both"/>
        <w:rPr>
          <w:rFonts w:cs="Arial"/>
          <w:kern w:val="2"/>
          <w14:ligatures w14:val="standardContextual"/>
        </w:rPr>
      </w:pPr>
      <w:r>
        <w:rPr>
          <w:rFonts w:cs="Arial"/>
          <w:kern w:val="2"/>
          <w14:ligatures w14:val="standardContextual"/>
        </w:rPr>
        <w:t>uplynutím funkčního období,</w:t>
      </w:r>
    </w:p>
    <w:p>
      <w:pPr>
        <w:pStyle w:val="ListParagraph"/>
        <w:numPr>
          <w:ilvl w:val="0"/>
          <w:numId w:val="83"/>
        </w:numPr>
        <w:spacing w:before="0" w:after="160"/>
        <w:contextualSpacing/>
        <w:jc w:val="both"/>
        <w:rPr>
          <w:rFonts w:cs="Arial"/>
          <w:kern w:val="2"/>
          <w14:ligatures w14:val="standardContextual"/>
        </w:rPr>
      </w:pPr>
      <w:r>
        <w:rPr>
          <w:rFonts w:cs="Arial"/>
          <w:kern w:val="2"/>
          <w14:ligatures w14:val="standardContextual"/>
        </w:rPr>
        <w:t>vzdáním se funkce,</w:t>
      </w:r>
    </w:p>
    <w:p>
      <w:pPr>
        <w:pStyle w:val="ListParagraph"/>
        <w:numPr>
          <w:ilvl w:val="0"/>
          <w:numId w:val="83"/>
        </w:numPr>
        <w:spacing w:before="0" w:after="160"/>
        <w:contextualSpacing/>
        <w:jc w:val="both"/>
        <w:rPr>
          <w:rFonts w:cs="Arial"/>
          <w:kern w:val="2"/>
          <w14:ligatures w14:val="standardContextual"/>
        </w:rPr>
      </w:pPr>
      <w:r>
        <w:rPr>
          <w:rFonts w:cs="Arial"/>
          <w:kern w:val="2"/>
          <w14:ligatures w14:val="standardContextual"/>
        </w:rPr>
        <w:t xml:space="preserve">odvoláním z funkce, </w:t>
      </w:r>
    </w:p>
    <w:p>
      <w:pPr>
        <w:pStyle w:val="ListParagraph"/>
        <w:numPr>
          <w:ilvl w:val="0"/>
          <w:numId w:val="83"/>
        </w:numPr>
        <w:spacing w:before="0" w:after="160"/>
        <w:contextualSpacing/>
        <w:jc w:val="both"/>
        <w:rPr>
          <w:rFonts w:cs="Arial"/>
          <w:kern w:val="2"/>
          <w14:ligatures w14:val="standardContextual"/>
        </w:rPr>
      </w:pPr>
      <w:r>
        <w:rPr>
          <w:rFonts w:cs="Arial"/>
          <w:kern w:val="2"/>
          <w14:ligatures w14:val="standardContextual"/>
        </w:rPr>
        <w:t>dnem vzniku souběhu neslučitelných funkcí,</w:t>
      </w:r>
    </w:p>
    <w:p>
      <w:pPr>
        <w:pStyle w:val="ListParagraph"/>
        <w:numPr>
          <w:ilvl w:val="0"/>
          <w:numId w:val="83"/>
        </w:numPr>
        <w:spacing w:before="0" w:after="160"/>
        <w:contextualSpacing/>
        <w:jc w:val="both"/>
        <w:rPr>
          <w:rFonts w:cs="Arial"/>
          <w:kern w:val="2"/>
          <w14:ligatures w14:val="standardContextual"/>
        </w:rPr>
      </w:pPr>
      <w:r>
        <w:rPr>
          <w:rFonts w:cs="Arial"/>
          <w:kern w:val="2"/>
          <w14:ligatures w14:val="standardContextual"/>
        </w:rPr>
        <w:t>smrtí nebo dnem nabytí právní moci rozhodnutí soudu o prohlášení za mrtvého nebo nezvěstného,</w:t>
      </w:r>
    </w:p>
    <w:p>
      <w:pPr>
        <w:pStyle w:val="ListParagraph"/>
        <w:numPr>
          <w:ilvl w:val="0"/>
          <w:numId w:val="83"/>
        </w:numPr>
        <w:spacing w:before="0" w:after="160"/>
        <w:contextualSpacing/>
        <w:jc w:val="both"/>
        <w:rPr>
          <w:rFonts w:cs="Arial"/>
          <w:kern w:val="2"/>
          <w14:ligatures w14:val="standardContextual"/>
        </w:rPr>
      </w:pPr>
      <w:r>
        <w:rPr>
          <w:rFonts w:cs="Arial"/>
          <w:kern w:val="2"/>
          <w14:ligatures w14:val="standardContextual"/>
        </w:rPr>
        <w:t>dnem nabytí právní moci</w:t>
      </w:r>
    </w:p>
    <w:p>
      <w:pPr>
        <w:pStyle w:val="Normal"/>
        <w:spacing w:before="240" w:after="240"/>
        <w:ind w:start="709"/>
        <w:contextualSpacing/>
        <w:jc w:val="both"/>
        <w:rPr>
          <w:rFonts w:cs="Arial"/>
          <w:kern w:val="2"/>
          <w14:ligatures w14:val="standardContextual"/>
        </w:rPr>
      </w:pPr>
      <w:r>
        <w:rPr>
          <w:rFonts w:cs="Arial"/>
          <w:kern w:val="2"/>
          <w14:ligatures w14:val="standardContextual"/>
        </w:rPr>
        <w:t>1. rozhodnutí soudu, kterým byl člen univerzitní rady odsouzen pro úmyslný trestný čin nebo kterým byl odsouzen k nepodmíněnému trestu odnětí svobody pro trestný čin spáchaný z nedbalosti,</w:t>
      </w:r>
    </w:p>
    <w:p>
      <w:pPr>
        <w:pStyle w:val="Normal"/>
        <w:spacing w:before="240" w:after="240"/>
        <w:ind w:start="709"/>
        <w:contextualSpacing/>
        <w:jc w:val="both"/>
        <w:rPr>
          <w:rFonts w:cs="Arial"/>
          <w:kern w:val="2"/>
          <w14:ligatures w14:val="standardContextual"/>
        </w:rPr>
      </w:pPr>
      <w:r>
        <w:rPr>
          <w:rFonts w:cs="Arial"/>
          <w:kern w:val="2"/>
          <w14:ligatures w14:val="standardContextual"/>
        </w:rPr>
        <w:t>2. rozhodnutí soudu, kterým byla schválena dohoda o vině člena univerzitní rady a trestu za jím spáchaný úmyslný trestný čin,</w:t>
      </w:r>
    </w:p>
    <w:p>
      <w:pPr>
        <w:pStyle w:val="Normal"/>
        <w:spacing w:before="240" w:after="240"/>
        <w:ind w:start="709"/>
        <w:contextualSpacing/>
        <w:jc w:val="both"/>
        <w:rPr>
          <w:rFonts w:cs="Arial"/>
          <w:kern w:val="2"/>
          <w14:ligatures w14:val="standardContextual"/>
        </w:rPr>
      </w:pPr>
      <w:r>
        <w:rPr>
          <w:rFonts w:cs="Arial"/>
          <w:kern w:val="2"/>
          <w14:ligatures w14:val="standardContextual"/>
        </w:rPr>
        <w:t>3. rozhodnutí státního zástupce, kterým bylo podmíněně odloženo podání návrhu na potrestání člena univerzitní rady za úmyslný trestný čin,</w:t>
      </w:r>
    </w:p>
    <w:p>
      <w:pPr>
        <w:pStyle w:val="Normal"/>
        <w:spacing w:before="240" w:after="240"/>
        <w:ind w:start="709"/>
        <w:contextualSpacing/>
        <w:jc w:val="both"/>
        <w:rPr>
          <w:rFonts w:cs="Arial"/>
          <w:kern w:val="2"/>
          <w14:ligatures w14:val="standardContextual"/>
        </w:rPr>
      </w:pPr>
      <w:r>
        <w:rPr>
          <w:rFonts w:cs="Arial"/>
          <w:kern w:val="2"/>
          <w14:ligatures w14:val="standardContextual"/>
        </w:rPr>
        <w:t>4. rozhodnutí státního zástupce nebo soudu, kterým bylo podmíněně zastaveno trestní stíhání člena univerzitní rady pro úmyslný trestný čin nebo kterým bylo v trestním řízení vedeném pro úmyslný trestný čin člena rady schváleno narovnání, nebo</w:t>
      </w:r>
    </w:p>
    <w:p>
      <w:pPr>
        <w:pStyle w:val="Normal"/>
        <w:spacing w:before="240" w:after="240"/>
        <w:ind w:start="709"/>
        <w:contextualSpacing/>
        <w:jc w:val="both"/>
        <w:rPr>
          <w:rFonts w:cs="Arial"/>
          <w:kern w:val="2"/>
          <w14:ligatures w14:val="standardContextual"/>
        </w:rPr>
      </w:pPr>
      <w:r>
        <w:rPr>
          <w:rFonts w:cs="Arial"/>
          <w:kern w:val="2"/>
          <w14:ligatures w14:val="standardContextual"/>
        </w:rPr>
        <w:t>5. rozhodnutí soudu, kterým byla omezena svéprávnost člena univerzitní rady.</w:t>
      </w:r>
    </w:p>
    <w:p>
      <w:pPr>
        <w:pStyle w:val="Normal"/>
        <w:spacing w:before="0" w:after="160"/>
        <w:jc w:val="both"/>
        <w:rPr>
          <w:rFonts w:eastAsia="MS PGothic" w:cs="Arial"/>
          <w:kern w:val="2"/>
          <w14:ligatures w14:val="standardContextual"/>
        </w:rPr>
      </w:pPr>
      <w:r>
        <w:rPr>
          <w:rFonts w:eastAsia="MS PGothic" w:cs="Arial"/>
          <w:kern w:val="2"/>
          <w14:ligatures w14:val="standardContextual"/>
        </w:rPr>
      </w:r>
    </w:p>
    <w:p>
      <w:pPr>
        <w:pStyle w:val="Normal"/>
        <w:spacing w:before="0" w:after="160"/>
        <w:jc w:val="both"/>
        <w:rPr>
          <w:rFonts w:eastAsia="MS PGothic" w:cs="Arial"/>
          <w:kern w:val="2"/>
          <w14:ligatures w14:val="standardContextual"/>
        </w:rPr>
      </w:pPr>
      <w:r>
        <w:rPr>
          <w:rFonts w:eastAsia="MS PGothic" w:cs="Arial"/>
          <w:kern w:val="2"/>
          <w14:ligatures w14:val="standardContextual"/>
        </w:rPr>
        <w:t>Ministr školství odvolá člena univerzitní rady, který závažně porušil povinnosti spojené s výkonem funkce (zejména povinnost péče řádného hospodáře nebo oznamovací povinnost o střetu zájmů); se souhlasem dvou třetin členů univerzitní rady nebo dvou třetin členů akademického senátu vysoké školy. Návrh na odvolání člena univerzitní rady může dvoutřetinovou většinou univerzitní rada nebo akademický senát iniciovat.</w:t>
      </w:r>
    </w:p>
    <w:p>
      <w:pPr>
        <w:pStyle w:val="Normal"/>
        <w:keepNext w:val="true"/>
        <w:keepLines/>
        <w:numPr>
          <w:ilvl w:val="0"/>
          <w:numId w:val="0"/>
        </w:numPr>
        <w:spacing w:lineRule="auto" w:line="259" w:before="240" w:after="0"/>
        <w:outlineLvl w:val="2"/>
        <w:rPr>
          <w:rFonts w:ascii="Ebrima" w:hAnsi="Ebrima" w:eastAsia="MS PGothic" w:cs="Ebrima"/>
          <w:b/>
          <w:bCs/>
          <w:color w:val="D70C0F"/>
          <w:kern w:val="2"/>
          <w:sz w:val="24"/>
          <w:szCs w:val="24"/>
          <w14:ligatures w14:val="standardContextual"/>
        </w:rPr>
      </w:pPr>
      <w:r>
        <w:rPr>
          <w:rFonts w:eastAsia="MS PGothic" w:cs="Arial"/>
          <w:b/>
          <w:bCs/>
          <w:kern w:val="2"/>
          <w14:ligatures w14:val="standardContextual"/>
        </w:rPr>
        <w:t>Rektor</w:t>
      </w:r>
      <w:bookmarkEnd w:id="2"/>
      <w:r>
        <w:rPr>
          <w:rFonts w:eastAsia="MS PGothic" w:cs="Arial"/>
          <w:b/>
          <w:bCs/>
          <w:kern w:val="2"/>
          <w14:ligatures w14:val="standardContextual"/>
        </w:rPr>
        <w:t xml:space="preserve"> </w:t>
      </w:r>
    </w:p>
    <w:p>
      <w:pPr>
        <w:pStyle w:val="Normal"/>
        <w:spacing w:before="0" w:after="160"/>
        <w:jc w:val="both"/>
        <w:rPr>
          <w:rFonts w:cs="Arial"/>
          <w:kern w:val="2"/>
          <w14:ligatures w14:val="standardContextual"/>
        </w:rPr>
      </w:pPr>
      <w:r>
        <w:rPr>
          <w:rFonts w:cs="Arial"/>
          <w:kern w:val="2"/>
          <w14:ligatures w14:val="standardContextual"/>
        </w:rPr>
        <w:t>Rektor bude hlavním výkonným orgánem vysoké školy odpovědným za její strategické, akademické i provozní řízení, přičemž bude naplňovat strategické směřování vysoké školy vymezené dokumenty schválenými univerzitní radou.</w:t>
      </w:r>
    </w:p>
    <w:p>
      <w:pPr>
        <w:pStyle w:val="Normal"/>
        <w:spacing w:before="0" w:after="160"/>
        <w:jc w:val="both"/>
        <w:rPr>
          <w:rFonts w:cs="Arial"/>
          <w:kern w:val="2"/>
          <w14:ligatures w14:val="standardContextual"/>
        </w:rPr>
      </w:pPr>
      <w:r>
        <w:rPr>
          <w:rFonts w:cs="Arial"/>
          <w:kern w:val="2"/>
          <w14:ligatures w14:val="standardContextual"/>
        </w:rPr>
        <w:t>Rektor bude mít široké pravomoci v oblasti řízení, financí, personální politiky, systému zajišťování a vnitřního hodnocení kvality vzdělávací, tvůrčí a s nimi souvisejících činností vysoké školy i jmenování vedoucích zaměstnanců, včetně prorektorů a děkanů. Zároveň ponese odpovědnost za naplňování nastavené strategie a bude zastupovat školu navenek.</w:t>
      </w:r>
    </w:p>
    <w:p>
      <w:pPr>
        <w:pStyle w:val="Normal"/>
        <w:spacing w:before="0" w:after="160"/>
        <w:jc w:val="both"/>
        <w:rPr>
          <w:rFonts w:cs="Arial"/>
          <w:kern w:val="2"/>
          <w14:ligatures w14:val="standardContextual"/>
        </w:rPr>
      </w:pPr>
      <w:r>
        <w:rPr>
          <w:rFonts w:cs="Arial"/>
          <w:kern w:val="2"/>
          <w14:ligatures w14:val="standardContextual"/>
        </w:rPr>
        <w:t>Funkční období rektora bude sedmileté bez možnosti opakování. Funkce rektora bude veřejnou funkcí vykonávanou v rámci pracovního poměru k veřejné vysoké škole na plný úvazek. Mzdu rektora bude stanovovat univerzitní rada.</w:t>
      </w:r>
    </w:p>
    <w:p>
      <w:pPr>
        <w:pStyle w:val="Normal"/>
        <w:spacing w:before="0" w:after="160"/>
        <w:jc w:val="both"/>
        <w:rPr>
          <w:rFonts w:cs="Arial"/>
          <w:kern w:val="2"/>
          <w14:ligatures w14:val="standardContextual"/>
        </w:rPr>
      </w:pPr>
      <w:r>
        <w:rPr>
          <w:rFonts w:cs="Arial"/>
          <w:kern w:val="2"/>
          <w14:ligatures w14:val="standardContextual"/>
        </w:rPr>
        <w:t xml:space="preserve">Jmenováním rektorem dojde ke vzniku pracovního poměru k vysoké škole v případě osoby, která před jmenováním rektorem nebyla jejím zaměstnancem v pracovním poměru. Při uplynutí funkčního období nebo jiném způsobu zániku funkce rektora nedojde k zániku pracovního poměru a škola bude povinna nabídnout danému zaměstnanci jinou vhodnou práci; nepřijme-li ji zaměstnanec, nebo nebude-li mu žádná vhodná práce nabídnuta, bude mít nárok na odstupné. </w:t>
      </w:r>
    </w:p>
    <w:p>
      <w:pPr>
        <w:pStyle w:val="Normal"/>
        <w:spacing w:before="0" w:after="160"/>
        <w:jc w:val="both"/>
        <w:rPr>
          <w:rFonts w:cs="Arial"/>
          <w:kern w:val="2"/>
          <w14:ligatures w14:val="standardContextual"/>
        </w:rPr>
      </w:pPr>
      <w:r>
        <w:rPr>
          <w:rFonts w:cs="Arial"/>
          <w:kern w:val="2"/>
          <w14:ligatures w14:val="standardContextual"/>
        </w:rPr>
        <w:t>Pokud osoba jmenovaná rektorem vysoké školy byla zaměstnancem dané vysoké školy v pracovním poměru, jmenováním rektorem dojde ke změně pracovního poměru k dané vysoké škole formou změny dosavadního druhu práce; při následném zániku funkce rektora má daná osoba nárok na zařazení zpět na původní práci a původní pracoviště, nedohodne-li se s vysokou školou jinak.</w:t>
      </w:r>
    </w:p>
    <w:p>
      <w:pPr>
        <w:pStyle w:val="Normal"/>
        <w:spacing w:before="0" w:after="160"/>
        <w:jc w:val="both"/>
        <w:rPr>
          <w:rFonts w:cs="Arial"/>
          <w:kern w:val="2"/>
          <w14:ligatures w14:val="standardContextual"/>
        </w:rPr>
      </w:pPr>
      <w:r>
        <w:rPr>
          <w:rFonts w:cs="Arial"/>
          <w:kern w:val="2"/>
          <w14:ligatures w14:val="standardContextual"/>
        </w:rPr>
        <w:t>Ustanovení zákona o skončení pracovního poměru uplynutím posledního dne kalendářního roku, v němž pracovník dosáhne věku 70 let, se na osobu skončivší výkon funkce rektora použije obdobně.</w:t>
      </w:r>
    </w:p>
    <w:p>
      <w:pPr>
        <w:pStyle w:val="Normal"/>
        <w:spacing w:before="0" w:after="160"/>
        <w:jc w:val="both"/>
        <w:rPr>
          <w:rFonts w:cs="Arial"/>
          <w:kern w:val="2"/>
          <w14:ligatures w14:val="standardContextual"/>
        </w:rPr>
      </w:pPr>
      <w:r>
        <w:rPr>
          <w:rFonts w:cs="Arial"/>
          <w:kern w:val="2"/>
          <w14:ligatures w14:val="standardContextual"/>
        </w:rPr>
        <w:t>Způsob výběru a jmenování rektora</w:t>
      </w:r>
    </w:p>
    <w:p>
      <w:pPr>
        <w:pStyle w:val="Normal"/>
        <w:spacing w:before="0" w:after="160"/>
        <w:jc w:val="both"/>
        <w:rPr>
          <w:rFonts w:cs="Arial"/>
          <w:kern w:val="2"/>
          <w14:ligatures w14:val="standardContextual"/>
        </w:rPr>
      </w:pPr>
      <w:r>
        <w:rPr>
          <w:rFonts w:cs="Arial"/>
          <w:kern w:val="2"/>
          <w14:ligatures w14:val="standardContextual"/>
        </w:rPr>
        <w:t xml:space="preserve">Rektora vysoké školy jmenuje prezident republiky na návrh univerzitní rady dané vysoké školy, pokud akademický senát do 30 dní od vyhlášení (zveřejnění) výsledku výběru univerzitní radou neuplatní veto. </w:t>
      </w:r>
    </w:p>
    <w:p>
      <w:pPr>
        <w:pStyle w:val="Normal"/>
        <w:spacing w:before="0" w:after="160"/>
        <w:jc w:val="both"/>
        <w:rPr>
          <w:rFonts w:cs="Arial"/>
          <w:kern w:val="2"/>
          <w14:ligatures w14:val="standardContextual"/>
        </w:rPr>
      </w:pPr>
      <w:r>
        <w:rPr>
          <w:rFonts w:cs="Arial"/>
          <w:kern w:val="2"/>
          <w14:ligatures w14:val="standardContextual"/>
        </w:rPr>
        <w:t xml:space="preserve">Navrhovaný kandidát na rektora bude vybírán univerzitní radou v otevřeném výběrovém řízení s přihlédnutím k doporučení výběrové komise zřízené univerzitní radou. Součástí průběhu výběrového řízení bude vždy slyšení všech uchazečů o funkci rektora nebo jejich užšího výběru před akademickým senátem vysoké školy. Další podrobnosti postupu při výběrovém řízení stanoví vnitřní předpis vysoké školy. </w:t>
      </w:r>
    </w:p>
    <w:p>
      <w:pPr>
        <w:pStyle w:val="Normal"/>
        <w:spacing w:before="0" w:after="160"/>
        <w:jc w:val="both"/>
        <w:rPr>
          <w:rFonts w:cs="Arial"/>
          <w:kern w:val="2"/>
          <w14:ligatures w14:val="standardContextual"/>
        </w:rPr>
      </w:pPr>
      <w:r>
        <w:rPr>
          <w:rFonts w:cs="Arial"/>
          <w:kern w:val="2"/>
          <w14:ligatures w14:val="standardContextual"/>
        </w:rPr>
        <w:t>Akademický senát bude mít právo kandidáta vybraného univerzitní radou před jeho navržením na jmenování rektorem odmítnout dvoutřetinovou většinou hlasů všech svých členů.</w:t>
      </w:r>
    </w:p>
    <w:p>
      <w:pPr>
        <w:pStyle w:val="Normal"/>
        <w:spacing w:before="0" w:after="160"/>
        <w:jc w:val="both"/>
        <w:rPr>
          <w:rFonts w:cs="Arial"/>
          <w:kern w:val="2"/>
          <w14:ligatures w14:val="standardContextual"/>
        </w:rPr>
      </w:pPr>
      <w:r>
        <w:rPr>
          <w:rFonts w:cs="Arial"/>
          <w:kern w:val="2"/>
          <w14:ligatures w14:val="standardContextual"/>
        </w:rPr>
        <w:t xml:space="preserve">Rektor se souhlasem univerzitní rady vždy ustanoví nejméně jednoho prorektora, který bude oprávněn rektora zastupovat v plném rozsahu v případě, kdy rektor nebude moci vykonávat svou funkci. Tento prorektor (tito prorektoři) však nebudou mít oprávnění sami ustanovit jiné osoby, které by je případně zastupovaly. </w:t>
      </w:r>
    </w:p>
    <w:p>
      <w:pPr>
        <w:pStyle w:val="Normal"/>
        <w:spacing w:before="0" w:after="160"/>
        <w:jc w:val="both"/>
        <w:rPr>
          <w:rFonts w:cs="Arial"/>
          <w:kern w:val="2"/>
          <w14:ligatures w14:val="standardContextual"/>
        </w:rPr>
      </w:pPr>
      <w:r>
        <w:rPr>
          <w:rFonts w:cs="Arial"/>
          <w:kern w:val="2"/>
          <w14:ligatures w14:val="standardContextual"/>
        </w:rPr>
        <w:t>Působnost a pravomoci rektora</w:t>
      </w:r>
    </w:p>
    <w:p>
      <w:pPr>
        <w:pStyle w:val="Normal"/>
        <w:spacing w:before="0" w:after="160"/>
        <w:jc w:val="both"/>
        <w:rPr>
          <w:rFonts w:cs="Arial"/>
          <w:kern w:val="2"/>
          <w14:ligatures w14:val="standardContextual"/>
        </w:rPr>
      </w:pPr>
      <w:r>
        <w:rPr>
          <w:rFonts w:cs="Arial"/>
          <w:kern w:val="2"/>
          <w14:ligatures w14:val="standardContextual"/>
        </w:rPr>
        <w:t>Rektor bude</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statutárním orgánem veřejné vysoké školy, bude ji řídit, jednat jejím jménem a zastupovat navenek, navrhovat, projednávat a komunikovat strategii vysoké školy, provádět strategii schválenou univerzitní radou a garantovat hospodárný chod a rozvoj celé vysoké školy, koordinovat činnost součástí vysoké školy, informovat a proaktivně zapojovat do řídících procesů členy akademické obce dané vysoké školy a další partnery,</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vyhodnocovat dosahování cílů, kvalitu a dopad činností vysoké školy a jejích součástí na základě dat, zkušeností a podnětů, a přicházet s návrhy opatření a projektů, které zajistí další rozvoj vysoké školy k vyšší kvalitě a lepšímu naplňování vlastního poslání vysoké školy,</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připravovat a předkládat příslušným orgánům k projednání nebo schválení klíčové dokumenty vysoké školy (vnitřní předpisy, rozpočet a jeho střednědobý výhled, výroční zprávy o činnosti vysoké školy a zprávy o hospodaření vysoké školy, strategii vysoké školy, návrh na zřízení, sloučení nebo zrušení součástí vysoké školy),</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řídit provoz rektorátu, hospodaření vysoké školy a nakládání s jejím majetkem (se souhlasem univerzitní rady tam, kde to bude vyžadovat zákon), personální politiku vysoké školy, procesy zajišťování a vnitřního hodnocení kvality vzdělávací, tvůrčí a s nimi souvisejících činností vysoké školy,</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řídit proces výběru děkanů fakult a dalších vedoucích zaměstnanců, včetně ředitelů nebo vedoucích dalších součástí vysoké školy, včetně jmenování výběrové komise a jmenování navržených kandidátů do funkce a předkládat univerzitní radě návrh na odvolání děkana,</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 xml:space="preserve">jmenovat a odvolávat prorektory a pověřovat je zastupováním rektora a výkonem jeho působnosti a pravomocí v jím určeném rozsahu, </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oprávněn odvolat děkana z funkce na návrh univerzitní rady, nebo na návrh dvou třetin všech členů akademického senátu, nebo z vlastního podnětu se souhlasem univerzitní rady,</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na základě strategie vysoké školy stanovovat po předchozím projednání s děkany výkonové a rozvojové cíle pro jednotlivé fakulty a jejich plnění zohledňovat při hodnocení děkanů; obdobně postupovat ve vztahu k vysokoškolským ústavům (a případně dalším součástem vysoké školy),</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rozhodovat ve věcech disciplinárních přestupků studentů,</w:t>
      </w:r>
    </w:p>
    <w:p>
      <w:pPr>
        <w:pStyle w:val="Normal"/>
        <w:keepLines/>
        <w:numPr>
          <w:ilvl w:val="0"/>
          <w:numId w:val="61"/>
        </w:numPr>
        <w:spacing w:lineRule="auto" w:line="259" w:before="0" w:after="160"/>
        <w:contextualSpacing/>
        <w:jc w:val="both"/>
        <w:rPr>
          <w:rFonts w:cs="Arial"/>
          <w:kern w:val="2"/>
          <w14:ligatures w14:val="standardContextual"/>
        </w:rPr>
      </w:pPr>
      <w:r>
        <w:rPr>
          <w:rFonts w:cs="Arial"/>
          <w:kern w:val="2"/>
          <w14:ligatures w14:val="standardContextual"/>
        </w:rPr>
        <w:t>vykonávat další pravomoci jemu svěřené statutem vysoké školy, popřípadě jinými vnitřními předpisy vysoké školy.</w:t>
      </w:r>
    </w:p>
    <w:p>
      <w:pPr>
        <w:pStyle w:val="Normal"/>
        <w:keepNext w:val="true"/>
        <w:keepLines/>
        <w:numPr>
          <w:ilvl w:val="0"/>
          <w:numId w:val="0"/>
        </w:numPr>
        <w:spacing w:lineRule="auto" w:line="259" w:before="240" w:after="120"/>
        <w:outlineLvl w:val="2"/>
        <w:rPr>
          <w:rFonts w:eastAsia="MS PGothic" w:cs="Arial"/>
          <w:kern w:val="2"/>
          <w14:ligatures w14:val="standardContextual"/>
        </w:rPr>
      </w:pPr>
      <w:bookmarkStart w:id="4" w:name="_Toc228205220"/>
      <w:r>
        <w:rPr>
          <w:rFonts w:eastAsia="MS PGothic" w:cs="Arial"/>
          <w:kern w:val="2"/>
          <w14:ligatures w14:val="standardContextual"/>
        </w:rPr>
        <w:t>Akademický senát vysoké školy</w:t>
      </w:r>
      <w:bookmarkEnd w:id="4"/>
    </w:p>
    <w:p>
      <w:pPr>
        <w:pStyle w:val="Normal"/>
        <w:keepLines/>
        <w:spacing w:lineRule="auto" w:line="259" w:before="0" w:after="120"/>
        <w:jc w:val="both"/>
        <w:rPr>
          <w:rFonts w:cs="Arial"/>
          <w:kern w:val="2"/>
          <w14:ligatures w14:val="standardContextual"/>
        </w:rPr>
      </w:pPr>
      <w:r>
        <w:rPr>
          <w:rFonts w:cs="Arial"/>
          <w:kern w:val="2"/>
          <w14:ligatures w14:val="standardContextual"/>
        </w:rPr>
        <w:t>Akademický senát bude vrcholným orgánem akademické samosprávy vysoké školy, který bude zajišťovat účast zástupců akademické obce vysoké školy na procesu vytváření a přijímání klíčových dokumentů týkajících se činnosti vysoké školy, na kontrole činnosti orgánů a vedoucích zaměstnanců vysoké školy a na ochraně akademických hodnot. Bude mít významné pravomoci v oblasti kontroly obsazování funkcí, procesu schvalování některých vnitřních předpisů a projednávání klíčových rozhodnutí a bude rovněž moci předkládat podněty rektorovi a univerzitní radě.</w:t>
      </w:r>
    </w:p>
    <w:p>
      <w:pPr>
        <w:pStyle w:val="Normal"/>
        <w:spacing w:lineRule="auto" w:line="257" w:before="120" w:after="120"/>
        <w:jc w:val="both"/>
        <w:rPr>
          <w:rFonts w:cs="Arial"/>
          <w:bCs/>
          <w:kern w:val="2"/>
          <w14:ligatures w14:val="standardContextual"/>
        </w:rPr>
      </w:pPr>
      <w:r>
        <w:rPr>
          <w:rFonts w:cs="Arial"/>
          <w:kern w:val="2"/>
          <w14:ligatures w14:val="standardContextual"/>
        </w:rPr>
        <w:t>Zákon stanoví složení akademického senátu, definuje jeho případné kurie a jejich velikost a upřesní okruh osob s aktivním a pasivním volebním právem a podmínky zániku funkce členů akademického senátu. Zákon rámcově upraví oprávnění senátu zřizovat své poradní, odborné, pomocné výbory či komise.</w:t>
      </w:r>
    </w:p>
    <w:p>
      <w:pPr>
        <w:pStyle w:val="Normal"/>
        <w:keepLines/>
        <w:spacing w:lineRule="auto" w:line="259" w:before="0" w:after="160"/>
        <w:jc w:val="both"/>
        <w:rPr>
          <w:rFonts w:cs="Arial"/>
          <w:kern w:val="2"/>
          <w14:ligatures w14:val="standardContextual"/>
        </w:rPr>
      </w:pPr>
      <w:r>
        <w:rPr>
          <w:rFonts w:cs="Arial"/>
          <w:kern w:val="2"/>
          <w14:ligatures w14:val="standardContextual"/>
        </w:rPr>
        <w:t>Senát bude mít tyto kurie:</w:t>
      </w:r>
    </w:p>
    <w:p>
      <w:pPr>
        <w:pStyle w:val="Normal"/>
        <w:keepLines/>
        <w:numPr>
          <w:ilvl w:val="0"/>
          <w:numId w:val="54"/>
        </w:numPr>
        <w:spacing w:lineRule="auto" w:line="259" w:before="0" w:after="160"/>
        <w:contextualSpacing/>
        <w:jc w:val="both"/>
        <w:rPr>
          <w:rFonts w:cs="Arial"/>
          <w:kern w:val="2"/>
          <w14:ligatures w14:val="standardContextual"/>
        </w:rPr>
      </w:pPr>
      <w:r>
        <w:rPr>
          <w:rFonts w:cs="Arial"/>
          <w:kern w:val="2"/>
          <w14:ligatures w14:val="standardContextual"/>
        </w:rPr>
        <w:t>kurie docentů a profesorů (pracovníků na pozicích R3 a R4)</w:t>
      </w:r>
    </w:p>
    <w:p>
      <w:pPr>
        <w:pStyle w:val="Normal"/>
        <w:keepLines/>
        <w:numPr>
          <w:ilvl w:val="0"/>
          <w:numId w:val="54"/>
        </w:numPr>
        <w:spacing w:lineRule="auto" w:line="259" w:before="0" w:after="160"/>
        <w:contextualSpacing/>
        <w:jc w:val="both"/>
        <w:rPr>
          <w:rFonts w:cs="Arial"/>
          <w:kern w:val="2"/>
          <w14:ligatures w14:val="standardContextual"/>
        </w:rPr>
      </w:pPr>
      <w:r>
        <w:rPr>
          <w:rFonts w:cs="Arial"/>
          <w:kern w:val="2"/>
          <w14:ligatures w14:val="standardContextual"/>
        </w:rPr>
        <w:t>kurie ostatních akademických pracovníků (vč. současných vědeckých pracovníků),</w:t>
      </w:r>
    </w:p>
    <w:p>
      <w:pPr>
        <w:pStyle w:val="Normal"/>
        <w:keepLines/>
        <w:numPr>
          <w:ilvl w:val="0"/>
          <w:numId w:val="54"/>
        </w:numPr>
        <w:spacing w:lineRule="auto" w:line="259" w:before="0" w:after="160"/>
        <w:contextualSpacing/>
        <w:jc w:val="both"/>
        <w:rPr>
          <w:rFonts w:cs="Arial"/>
          <w:kern w:val="2"/>
          <w14:ligatures w14:val="standardContextual"/>
        </w:rPr>
      </w:pPr>
      <w:r>
        <w:rPr>
          <w:rFonts w:cs="Arial"/>
          <w:kern w:val="2"/>
          <w14:ligatures w14:val="standardContextual"/>
        </w:rPr>
        <w:t>kurie doktorandů (studentů doktorských studijních programů) v případě univerzitní vysoké školy</w:t>
      </w:r>
    </w:p>
    <w:p>
      <w:pPr>
        <w:pStyle w:val="Normal"/>
        <w:keepLines/>
        <w:numPr>
          <w:ilvl w:val="0"/>
          <w:numId w:val="54"/>
        </w:numPr>
        <w:spacing w:lineRule="auto" w:line="259" w:before="0" w:after="160"/>
        <w:contextualSpacing/>
        <w:jc w:val="both"/>
        <w:rPr>
          <w:rFonts w:cs="Arial"/>
          <w:kern w:val="2"/>
          <w14:ligatures w14:val="standardContextual"/>
        </w:rPr>
      </w:pPr>
      <w:r>
        <w:rPr>
          <w:rFonts w:cs="Arial"/>
          <w:kern w:val="2"/>
          <w14:ligatures w14:val="standardContextual"/>
        </w:rPr>
        <w:t>kurie studentů bakalářských a magisterských studijních programů (popř. studentů krátkých programů),</w:t>
      </w:r>
    </w:p>
    <w:p>
      <w:pPr>
        <w:pStyle w:val="Normal"/>
        <w:keepLines/>
        <w:numPr>
          <w:ilvl w:val="0"/>
          <w:numId w:val="54"/>
        </w:numPr>
        <w:spacing w:lineRule="auto" w:line="259" w:before="0" w:after="160"/>
        <w:contextualSpacing/>
        <w:jc w:val="both"/>
        <w:rPr>
          <w:rFonts w:cs="Arial"/>
          <w:kern w:val="2"/>
          <w14:ligatures w14:val="standardContextual"/>
        </w:rPr>
      </w:pPr>
      <w:r>
        <w:rPr>
          <w:rFonts w:cs="Arial"/>
          <w:kern w:val="2"/>
          <w14:ligatures w14:val="standardContextual"/>
        </w:rPr>
        <w:t>kurie neakademických pracovníků.</w:t>
      </w:r>
    </w:p>
    <w:p>
      <w:pPr>
        <w:pStyle w:val="Normal"/>
        <w:keepLines/>
        <w:spacing w:lineRule="auto" w:line="259" w:before="0" w:after="160"/>
        <w:jc w:val="both"/>
        <w:rPr>
          <w:rFonts w:cs="Arial"/>
          <w:b/>
          <w:bCs/>
          <w:kern w:val="2"/>
          <w14:ligatures w14:val="standardContextual"/>
        </w:rPr>
      </w:pPr>
      <w:r>
        <w:rPr>
          <w:rFonts w:cs="Arial"/>
          <w:b/>
          <w:bCs/>
          <w:kern w:val="2"/>
          <w14:ligatures w14:val="standardContextual"/>
        </w:rPr>
      </w:r>
    </w:p>
    <w:p>
      <w:pPr>
        <w:pStyle w:val="Normal"/>
        <w:keepLines/>
        <w:spacing w:lineRule="auto" w:line="259" w:before="0" w:after="160"/>
        <w:jc w:val="both"/>
        <w:rPr>
          <w:rFonts w:cs="Arial"/>
          <w:kern w:val="2"/>
          <w14:ligatures w14:val="standardContextual"/>
        </w:rPr>
      </w:pPr>
      <w:r>
        <w:rPr>
          <w:rFonts w:cs="Arial"/>
          <w:kern w:val="2"/>
          <w14:ligatures w14:val="standardContextual"/>
        </w:rPr>
        <w:t>Působnost a pravomoci</w:t>
      </w:r>
    </w:p>
    <w:p>
      <w:pPr>
        <w:pStyle w:val="Normal"/>
        <w:keepLines/>
        <w:spacing w:lineRule="auto" w:line="259" w:before="0" w:after="160"/>
        <w:jc w:val="both"/>
        <w:rPr>
          <w:rFonts w:cs="Arial"/>
          <w:kern w:val="2"/>
          <w14:ligatures w14:val="standardContextual"/>
        </w:rPr>
      </w:pPr>
      <w:r>
        <w:rPr>
          <w:rFonts w:cs="Arial"/>
          <w:kern w:val="2"/>
          <w14:ligatures w14:val="standardContextual"/>
        </w:rPr>
        <w:t>Akademický senát vysoké školy bude mít právo:</w:t>
      </w:r>
    </w:p>
    <w:p>
      <w:pPr>
        <w:pStyle w:val="Normal"/>
        <w:keepLines/>
        <w:numPr>
          <w:ilvl w:val="0"/>
          <w:numId w:val="56"/>
        </w:numPr>
        <w:spacing w:lineRule="auto" w:line="259" w:before="0" w:after="160"/>
        <w:contextualSpacing/>
        <w:jc w:val="both"/>
        <w:rPr>
          <w:rFonts w:cs="Arial"/>
          <w:kern w:val="2"/>
          <w14:ligatures w14:val="standardContextual"/>
        </w:rPr>
      </w:pPr>
      <w:r>
        <w:rPr>
          <w:rFonts w:cs="Arial"/>
          <w:kern w:val="2"/>
          <w14:ligatures w14:val="standardContextual"/>
        </w:rPr>
        <w:t xml:space="preserve">zasahovat zákonem stanoveným způsobem do procesu obsazování míst členů jiných akademických orgánů nebo vedoucích zaměstnanců, a sice vstupovat do výběru části členů univerzitní rady výše uvedeným způsobem, disponovat možností kvalifikovanou většinou vydat závazné nesouhlasné stanovisko k navržení jmenování vybraného uchazeče rektorem, nebo děkanem před jeho jmenováním, předložit návrh na odvolání rektora nebo děkana, </w:t>
      </w:r>
    </w:p>
    <w:p>
      <w:pPr>
        <w:pStyle w:val="Normal"/>
        <w:keepLines/>
        <w:numPr>
          <w:ilvl w:val="0"/>
          <w:numId w:val="56"/>
        </w:numPr>
        <w:spacing w:lineRule="auto" w:line="259" w:before="0" w:after="160"/>
        <w:contextualSpacing/>
        <w:jc w:val="both"/>
        <w:rPr>
          <w:rFonts w:cs="Arial"/>
          <w:kern w:val="2"/>
          <w14:ligatures w14:val="standardContextual"/>
        </w:rPr>
      </w:pPr>
      <w:r>
        <w:rPr>
          <w:rFonts w:cs="Arial"/>
          <w:kern w:val="2"/>
          <w14:ligatures w14:val="standardContextual"/>
        </w:rPr>
        <w:t>schvalovat vnitřní předpisy vysoké školy, které upravují jednací řád akademického senátu vysoké školy, pravidla pro průběh a ukončování studia a podmínky přijímání ke studiu, pravidla pro poskytování stipendií a pravidla pro řešení disciplinárních přestupů studentů,</w:t>
      </w:r>
    </w:p>
    <w:p>
      <w:pPr>
        <w:pStyle w:val="Normal"/>
        <w:keepLines/>
        <w:numPr>
          <w:ilvl w:val="0"/>
          <w:numId w:val="56"/>
        </w:numPr>
        <w:spacing w:lineRule="auto" w:line="259" w:before="0" w:after="160"/>
        <w:contextualSpacing/>
        <w:jc w:val="both"/>
        <w:rPr>
          <w:rFonts w:cs="Arial"/>
          <w:kern w:val="2"/>
          <w14:ligatures w14:val="standardContextual"/>
        </w:rPr>
      </w:pPr>
      <w:r>
        <w:rPr>
          <w:rFonts w:cs="Arial"/>
          <w:kern w:val="2"/>
          <w14:ligatures w14:val="standardContextual"/>
        </w:rPr>
        <w:t xml:space="preserve">projednat před jejich schválením příslušným orgánem (například univerzitní radou) další vnitřní předpisy a klíčové dokumenty vysoké školy (například statut vysoké školy, strategii, rozpočet,  investice, prodej majetku určitého charakteru nebo ceny), zřízení, sloučení nebo zrušení součástí vysoké školy nebo specificky vymezené vnitřní předpisy vysoké školy (upravující například odměňování, kariérní řády včetně pravidel obsazování míst docentů a profesorů, pravidla zajišťování kvality apod.); na projednání těchto dokumentů stanoví zákon akademickému  senátu lhůtu  30 dní od obdržení návrhu, </w:t>
      </w:r>
    </w:p>
    <w:p>
      <w:pPr>
        <w:pStyle w:val="Normal"/>
        <w:keepLines/>
        <w:numPr>
          <w:ilvl w:val="0"/>
          <w:numId w:val="56"/>
        </w:numPr>
        <w:spacing w:lineRule="auto" w:line="259" w:before="0" w:after="160"/>
        <w:contextualSpacing/>
        <w:jc w:val="both"/>
        <w:rPr>
          <w:rFonts w:cs="Arial"/>
          <w:kern w:val="2"/>
          <w14:ligatures w14:val="standardContextual"/>
        </w:rPr>
      </w:pPr>
      <w:r>
        <w:rPr>
          <w:rFonts w:cs="Arial"/>
          <w:kern w:val="2"/>
          <w14:ligatures w14:val="standardContextual"/>
        </w:rPr>
        <w:t>předkládat podněty rektorovi, univerzitní radě, děkanům a dalším orgánům.</w:t>
      </w:r>
    </w:p>
    <w:p>
      <w:pPr>
        <w:pStyle w:val="Normal"/>
        <w:keepLines/>
        <w:spacing w:lineRule="auto" w:line="259" w:before="0" w:after="160"/>
        <w:jc w:val="both"/>
        <w:rPr>
          <w:rFonts w:cs="Arial"/>
          <w:kern w:val="2"/>
          <w14:ligatures w14:val="standardContextual"/>
        </w:rPr>
      </w:pPr>
      <w:r>
        <w:rPr>
          <w:rFonts w:cs="Arial"/>
          <w:kern w:val="2"/>
          <w14:ligatures w14:val="standardContextual"/>
        </w:rPr>
      </w:r>
    </w:p>
    <w:p>
      <w:pPr>
        <w:pStyle w:val="Normal"/>
        <w:keepLines/>
        <w:spacing w:lineRule="auto" w:line="259" w:before="0" w:after="160"/>
        <w:jc w:val="both"/>
        <w:rPr>
          <w:rFonts w:cs="Arial"/>
          <w:b/>
          <w:bCs/>
          <w:kern w:val="2"/>
          <w14:ligatures w14:val="standardContextual"/>
        </w:rPr>
      </w:pPr>
      <w:r>
        <w:rPr>
          <w:rFonts w:cs="Arial"/>
          <w:b/>
          <w:bCs/>
          <w:kern w:val="2"/>
          <w14:ligatures w14:val="standardContextual"/>
        </w:rPr>
        <w:t>Složení a způsob volby členů akademického senátu veřejné vysoké školy</w:t>
      </w:r>
    </w:p>
    <w:p>
      <w:pPr>
        <w:pStyle w:val="Normal"/>
        <w:keepLines/>
        <w:spacing w:lineRule="auto" w:line="259" w:before="0" w:after="160"/>
        <w:jc w:val="both"/>
        <w:rPr>
          <w:rFonts w:cs="Arial"/>
          <w:kern w:val="2"/>
          <w14:ligatures w14:val="standardContextual"/>
        </w:rPr>
      </w:pPr>
      <w:r>
        <w:rPr>
          <w:rFonts w:cs="Arial"/>
          <w:kern w:val="2"/>
          <w14:ligatures w14:val="standardContextual"/>
        </w:rPr>
        <w:t xml:space="preserve">Akademický senát bude složen ze zástupců akademických pracovníků vysoké školy (mezi které budou patřit i výzkumní pracovníci a lektoři), studentů i dalších (neakademických) pracovníků školy. Složení senátu, způsob volby jeho členů a jejich funkční období upraví statut nebo v něm ukotvený vnitřní předpis. </w:t>
      </w:r>
      <w:bookmarkStart w:id="5" w:name="_Toc228205222"/>
    </w:p>
    <w:p>
      <w:pPr>
        <w:pStyle w:val="Normal"/>
        <w:keepLines/>
        <w:spacing w:lineRule="auto" w:line="259" w:before="0" w:after="160"/>
        <w:jc w:val="both"/>
        <w:rPr>
          <w:rFonts w:cs="Arial"/>
          <w:kern w:val="2"/>
          <w14:ligatures w14:val="standardContextual"/>
        </w:rPr>
      </w:pPr>
      <w:r>
        <w:rPr>
          <w:rFonts w:cs="Arial"/>
          <w:kern w:val="2"/>
          <w14:ligatures w14:val="standardContextual"/>
        </w:rPr>
        <w:t xml:space="preserve">Funkci člena akademického senátu vysoké školy bude moci tatáž osoba vykonávat na téže vysoké škole nejvýše </w:t>
      </w:r>
      <w:r>
        <w:rPr>
          <w:rFonts w:cs="Arial"/>
          <w:color w:val="000000"/>
          <w:kern w:val="2"/>
          <w14:ligatures w14:val="standardContextual"/>
        </w:rPr>
        <w:t>dvě po sobě jdoucí funkční období.</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 xml:space="preserve">4.1.4 Fakulty a jejich akademické orgány </w:t>
      </w:r>
    </w:p>
    <w:p>
      <w:pPr>
        <w:pStyle w:val="Normal"/>
        <w:spacing w:before="0" w:after="160"/>
        <w:jc w:val="both"/>
        <w:rPr>
          <w:rFonts w:cs="Arial"/>
          <w:kern w:val="2"/>
          <w14:ligatures w14:val="standardContextual"/>
        </w:rPr>
      </w:pPr>
      <w:r>
        <w:rPr>
          <w:rFonts w:cs="Arial"/>
          <w:kern w:val="2"/>
          <w14:ligatures w14:val="standardContextual"/>
        </w:rPr>
        <w:t xml:space="preserve">Fakulty </w:t>
      </w:r>
      <w:bookmarkEnd w:id="5"/>
    </w:p>
    <w:p>
      <w:pPr>
        <w:pStyle w:val="Normal"/>
        <w:spacing w:before="0" w:after="160"/>
        <w:jc w:val="both"/>
        <w:rPr>
          <w:rFonts w:cs="Arial"/>
          <w:kern w:val="2"/>
          <w14:ligatures w14:val="standardContextual"/>
        </w:rPr>
      </w:pPr>
      <w:r>
        <w:rPr>
          <w:rFonts w:cs="Arial"/>
          <w:kern w:val="2"/>
          <w14:ligatures w14:val="standardContextual"/>
        </w:rPr>
        <w:t>Vnitřní poměry fakult budou v zákoně upraveny obecněji oproti stávajícímu zákonu, přičemž rozsah působnosti fakult a jejich vedoucích zaměstnanců bude stanoven statutem nebo jiným vnitřním předpisem vysoké školy, popřípadě interním řídícím aktem rektora. Vysokým školám bude ponechána volnost delegovat výkon konkrétních pravomocí vysoké školy fakultám nebo děkanům nebo případně dalším fakultním orgánům, kteří budou ve svěřených záležitostech jednat a rozhodovat za vysokou školu.</w:t>
      </w:r>
    </w:p>
    <w:p>
      <w:pPr>
        <w:pStyle w:val="Normal"/>
        <w:spacing w:before="0" w:after="160"/>
        <w:jc w:val="both"/>
        <w:rPr>
          <w:rFonts w:cs="Arial"/>
          <w:kern w:val="2"/>
          <w14:ligatures w14:val="standardContextual"/>
        </w:rPr>
      </w:pPr>
      <w:r>
        <w:rPr>
          <w:rFonts w:cs="Arial"/>
          <w:kern w:val="2"/>
          <w14:ligatures w14:val="standardContextual"/>
        </w:rPr>
        <w:t>Děkan</w:t>
      </w:r>
    </w:p>
    <w:p>
      <w:pPr>
        <w:pStyle w:val="Normal"/>
        <w:spacing w:before="0" w:after="160"/>
        <w:jc w:val="both"/>
        <w:rPr>
          <w:rFonts w:cs="Arial"/>
          <w:kern w:val="2"/>
          <w14:ligatures w14:val="standardContextual"/>
        </w:rPr>
      </w:pPr>
      <w:r>
        <w:rPr>
          <w:rFonts w:cs="Arial"/>
          <w:kern w:val="2"/>
          <w14:ligatures w14:val="standardContextual"/>
        </w:rPr>
        <w:t xml:space="preserve">Děkan bude vybírán v otevřeném výběrovém řízení rektorem a bude jím jmenován a odvoláván. Součástí výběrového řízení bude slyšení uchazečů nebo jejich užšího výběru před akademickou obcí fakulty; jeho podoba bude určena vnitřním předpisem nebo podmínkami výběrového řízení. Akademický senát vysoké školy bude mít právo uchazeče o funkci děkana vybraného rektorem před jeho jmenováním do funkce odmítnout dvoutřetinovou většinou hlasů všech svých členů (stejně jako rada). </w:t>
      </w:r>
    </w:p>
    <w:p>
      <w:pPr>
        <w:pStyle w:val="Normal"/>
        <w:spacing w:before="0" w:after="160"/>
        <w:jc w:val="both"/>
        <w:rPr>
          <w:rFonts w:cs="Arial"/>
          <w:kern w:val="2"/>
          <w14:ligatures w14:val="standardContextual"/>
        </w:rPr>
      </w:pPr>
      <w:r>
        <w:rPr>
          <w:rFonts w:cs="Arial"/>
          <w:kern w:val="2"/>
          <w14:ligatures w14:val="standardContextual"/>
        </w:rPr>
        <w:t xml:space="preserve">Případné funkční období děkana a další náležitosti upřesní vnitřní předpisy vysoké školy. Výběr a jmenování a odvolávání proděkanů a případné ustavení kolegia děkana bude plně v pravomoci děkana. </w:t>
      </w:r>
    </w:p>
    <w:p>
      <w:pPr>
        <w:pStyle w:val="Normal"/>
        <w:spacing w:before="0" w:after="160"/>
        <w:jc w:val="both"/>
        <w:rPr>
          <w:rFonts w:cs="Arial"/>
          <w:kern w:val="2"/>
          <w14:ligatures w14:val="standardContextual"/>
        </w:rPr>
      </w:pPr>
      <w:r>
        <w:rPr>
          <w:rFonts w:cs="Arial"/>
          <w:kern w:val="2"/>
          <w14:ligatures w14:val="standardContextual"/>
        </w:rPr>
        <w:t>Rektor bude nadřízeným vedoucím zaměstnancem děkana a děkan jeho podřízeným zaměstnancem ve smyslu zákoníku práce. Pracovní místo děkana bude vedoucí pracovní místo zakládané a obsazované jmenováním; děkana bude možné odvolat.</w:t>
      </w:r>
    </w:p>
    <w:p>
      <w:pPr>
        <w:pStyle w:val="Normal"/>
        <w:spacing w:before="0" w:after="160"/>
        <w:jc w:val="both"/>
        <w:rPr>
          <w:rFonts w:cs="Arial"/>
          <w:kern w:val="2"/>
          <w14:ligatures w14:val="standardContextual"/>
        </w:rPr>
      </w:pPr>
      <w:r>
        <w:rPr>
          <w:rFonts w:cs="Arial"/>
          <w:kern w:val="2"/>
          <w14:ligatures w14:val="standardContextual"/>
        </w:rPr>
        <w:t>Děkan bude vedoucím zaměstnancem fakulty vysoké školy a bude řízen rektorem, popřípadě i jinými rektorem určenými vedoucími zaměstnanci vysoké školy; nebude veřejným funkcionářem. V oblasti výkonu veřejné moci nebude mít děkan vlastní zákonem svěřenou působnost a nebude samostatným správním orgánem, ale bude jednat za vysokou školu.</w:t>
      </w:r>
    </w:p>
    <w:p>
      <w:pPr>
        <w:pStyle w:val="Normal"/>
        <w:spacing w:before="0" w:after="160"/>
        <w:jc w:val="both"/>
        <w:rPr>
          <w:rFonts w:cs="Arial"/>
          <w:kern w:val="2"/>
          <w14:ligatures w14:val="standardContextual"/>
        </w:rPr>
      </w:pPr>
      <w:r>
        <w:rPr>
          <w:rFonts w:cs="Arial"/>
          <w:kern w:val="2"/>
          <w14:ligatures w14:val="standardContextual"/>
        </w:rPr>
        <w:t>Děkan bude jednat a rozhodovat za vysokou školu v rozsahu působnosti a pravomocí svěřených mu rektorem v rámci zákonem určených pravomocí; může jít zejména o pravomoci a působnosti v následujících věcech fakulty:</w:t>
      </w:r>
    </w:p>
    <w:p>
      <w:pPr>
        <w:pStyle w:val="Normal"/>
        <w:numPr>
          <w:ilvl w:val="0"/>
          <w:numId w:val="53"/>
        </w:numPr>
        <w:spacing w:before="0" w:after="160"/>
        <w:contextualSpacing/>
        <w:jc w:val="both"/>
        <w:rPr>
          <w:rFonts w:cs="Arial"/>
          <w:kern w:val="2"/>
          <w14:ligatures w14:val="standardContextual"/>
        </w:rPr>
      </w:pPr>
      <w:r>
        <w:rPr>
          <w:rFonts w:cs="Arial"/>
          <w:kern w:val="2"/>
          <w14:ligatures w14:val="standardContextual"/>
        </w:rPr>
        <w:t xml:space="preserve">pracovněprávní vztahy na fakultě, </w:t>
      </w:r>
    </w:p>
    <w:p>
      <w:pPr>
        <w:pStyle w:val="Normal"/>
        <w:numPr>
          <w:ilvl w:val="0"/>
          <w:numId w:val="53"/>
        </w:numPr>
        <w:spacing w:before="0" w:after="160"/>
        <w:contextualSpacing/>
        <w:jc w:val="both"/>
        <w:rPr>
          <w:rFonts w:cs="Arial"/>
          <w:kern w:val="2"/>
          <w14:ligatures w14:val="standardContextual"/>
        </w:rPr>
      </w:pPr>
      <w:r>
        <w:rPr>
          <w:rFonts w:cs="Arial"/>
          <w:kern w:val="2"/>
          <w14:ligatures w14:val="standardContextual"/>
        </w:rPr>
        <w:t xml:space="preserve">vnitřní organizace fakulty, </w:t>
      </w:r>
    </w:p>
    <w:p>
      <w:pPr>
        <w:pStyle w:val="Normal"/>
        <w:numPr>
          <w:ilvl w:val="0"/>
          <w:numId w:val="53"/>
        </w:numPr>
        <w:spacing w:before="0" w:after="160"/>
        <w:contextualSpacing/>
        <w:jc w:val="both"/>
        <w:rPr>
          <w:rFonts w:cs="Arial"/>
          <w:kern w:val="2"/>
          <w14:ligatures w14:val="standardContextual"/>
        </w:rPr>
      </w:pPr>
      <w:r>
        <w:rPr>
          <w:rFonts w:cs="Arial"/>
          <w:kern w:val="2"/>
          <w14:ligatures w14:val="standardContextual"/>
        </w:rPr>
        <w:t xml:space="preserve">nakládání s finančními prostředky přidělenými fakultě, </w:t>
      </w:r>
    </w:p>
    <w:p>
      <w:pPr>
        <w:pStyle w:val="Normal"/>
        <w:numPr>
          <w:ilvl w:val="0"/>
          <w:numId w:val="53"/>
        </w:numPr>
        <w:spacing w:before="0" w:after="160"/>
        <w:contextualSpacing/>
        <w:jc w:val="both"/>
        <w:rPr>
          <w:rFonts w:cs="Arial"/>
          <w:kern w:val="2"/>
          <w14:ligatures w14:val="standardContextual"/>
        </w:rPr>
      </w:pPr>
      <w:r>
        <w:rPr>
          <w:rFonts w:cs="Arial"/>
          <w:kern w:val="2"/>
          <w14:ligatures w14:val="standardContextual"/>
        </w:rPr>
        <w:t xml:space="preserve">tvorba a uskutečňování studijních programů, </w:t>
      </w:r>
    </w:p>
    <w:p>
      <w:pPr>
        <w:pStyle w:val="Normal"/>
        <w:numPr>
          <w:ilvl w:val="0"/>
          <w:numId w:val="53"/>
        </w:numPr>
        <w:spacing w:before="0" w:after="160"/>
        <w:contextualSpacing/>
        <w:jc w:val="both"/>
        <w:rPr>
          <w:rFonts w:cs="Arial"/>
          <w:kern w:val="2"/>
          <w14:ligatures w14:val="standardContextual"/>
        </w:rPr>
      </w:pPr>
      <w:r>
        <w:rPr>
          <w:rFonts w:cs="Arial"/>
          <w:kern w:val="2"/>
          <w14:ligatures w14:val="standardContextual"/>
        </w:rPr>
        <w:t xml:space="preserve">rozhodování o právech a povinnostech studentů, </w:t>
      </w:r>
    </w:p>
    <w:p>
      <w:pPr>
        <w:pStyle w:val="Normal"/>
        <w:numPr>
          <w:ilvl w:val="0"/>
          <w:numId w:val="53"/>
        </w:numPr>
        <w:spacing w:before="0" w:after="160"/>
        <w:contextualSpacing/>
        <w:jc w:val="both"/>
        <w:rPr>
          <w:rFonts w:cs="Arial"/>
          <w:kern w:val="2"/>
          <w14:ligatures w14:val="standardContextual"/>
        </w:rPr>
      </w:pPr>
      <w:r>
        <w:rPr>
          <w:rFonts w:cs="Arial"/>
          <w:kern w:val="2"/>
          <w14:ligatures w14:val="standardContextual"/>
        </w:rPr>
        <w:t xml:space="preserve">tvůrčí činnost fakulty, </w:t>
      </w:r>
    </w:p>
    <w:p>
      <w:pPr>
        <w:pStyle w:val="Normal"/>
        <w:numPr>
          <w:ilvl w:val="0"/>
          <w:numId w:val="53"/>
        </w:numPr>
        <w:spacing w:before="0" w:after="160"/>
        <w:contextualSpacing/>
        <w:jc w:val="both"/>
        <w:rPr>
          <w:rFonts w:cs="Arial"/>
          <w:kern w:val="2"/>
          <w14:ligatures w14:val="standardContextual"/>
        </w:rPr>
      </w:pPr>
      <w:r>
        <w:rPr>
          <w:rFonts w:cs="Arial"/>
          <w:kern w:val="2"/>
          <w14:ligatures w14:val="standardContextual"/>
        </w:rPr>
        <w:t xml:space="preserve">doplňková činnost fakulty, </w:t>
      </w:r>
    </w:p>
    <w:p>
      <w:pPr>
        <w:pStyle w:val="Normal"/>
        <w:numPr>
          <w:ilvl w:val="0"/>
          <w:numId w:val="53"/>
        </w:numPr>
        <w:spacing w:before="0" w:after="160"/>
        <w:contextualSpacing/>
        <w:jc w:val="both"/>
        <w:rPr>
          <w:rFonts w:cs="Arial"/>
          <w:kern w:val="2"/>
          <w14:ligatures w14:val="standardContextual"/>
        </w:rPr>
      </w:pPr>
      <w:r>
        <w:rPr>
          <w:rFonts w:cs="Arial"/>
          <w:kern w:val="2"/>
          <w14:ligatures w14:val="standardContextual"/>
        </w:rPr>
        <w:t xml:space="preserve">zahraniční styky a aktivity, </w:t>
      </w:r>
    </w:p>
    <w:p>
      <w:pPr>
        <w:pStyle w:val="Normal"/>
        <w:numPr>
          <w:ilvl w:val="0"/>
          <w:numId w:val="53"/>
        </w:numPr>
        <w:spacing w:before="0" w:after="160"/>
        <w:contextualSpacing/>
        <w:jc w:val="both"/>
        <w:rPr>
          <w:rFonts w:cs="Arial"/>
          <w:kern w:val="2"/>
          <w14:ligatures w14:val="standardContextual"/>
        </w:rPr>
      </w:pPr>
      <w:r>
        <w:rPr>
          <w:rFonts w:cs="Arial"/>
          <w:kern w:val="2"/>
          <w14:ligatures w14:val="standardContextual"/>
        </w:rPr>
        <w:t>správa majetku svěřeného fakultě.</w:t>
      </w:r>
    </w:p>
    <w:p>
      <w:pPr>
        <w:pStyle w:val="Normal"/>
        <w:spacing w:before="0" w:after="160"/>
        <w:jc w:val="both"/>
        <w:rPr>
          <w:rFonts w:cs="Arial"/>
          <w:kern w:val="2"/>
          <w14:ligatures w14:val="standardContextual"/>
        </w:rPr>
      </w:pPr>
      <w:r>
        <w:rPr>
          <w:rFonts w:cs="Arial"/>
          <w:kern w:val="2"/>
          <w14:ligatures w14:val="standardContextual"/>
        </w:rPr>
      </w:r>
    </w:p>
    <w:p>
      <w:pPr>
        <w:pStyle w:val="Normal"/>
        <w:spacing w:before="0" w:after="160"/>
        <w:jc w:val="both"/>
        <w:rPr>
          <w:rFonts w:cs="Arial"/>
          <w:b/>
          <w:bCs/>
          <w:kern w:val="2"/>
          <w14:ligatures w14:val="standardContextual"/>
        </w:rPr>
      </w:pPr>
      <w:r>
        <w:rPr>
          <w:rFonts w:cs="Arial"/>
          <w:kern w:val="2"/>
          <w14:ligatures w14:val="standardContextual"/>
        </w:rPr>
        <w:t>Rozhodnutí rektora o přidělení nebo odejmutí delegovaných pravomocí děkanovi bude mít písemnou formu,</w:t>
      </w:r>
      <w:r>
        <w:rPr>
          <w:rFonts w:cs="Arial"/>
          <w:b/>
          <w:bCs/>
          <w:kern w:val="2"/>
          <w14:ligatures w14:val="standardContextual"/>
        </w:rPr>
        <w:t xml:space="preserve"> </w:t>
      </w:r>
      <w:r>
        <w:rPr>
          <w:rFonts w:cs="Arial"/>
          <w:kern w:val="2"/>
          <w14:ligatures w14:val="standardContextual"/>
        </w:rPr>
        <w:t>procesní náležitosti může upravit statut nebo jiný vnitřní předpis vysoké školy.</w:t>
      </w:r>
    </w:p>
    <w:p>
      <w:pPr>
        <w:pStyle w:val="Normal"/>
        <w:spacing w:before="0" w:after="160"/>
        <w:jc w:val="both"/>
        <w:rPr>
          <w:rFonts w:cs="Arial"/>
          <w:kern w:val="2"/>
          <w14:ligatures w14:val="standardContextual"/>
        </w:rPr>
      </w:pPr>
      <w:r>
        <w:rPr>
          <w:rFonts w:cs="Arial"/>
          <w:kern w:val="2"/>
          <w14:ligatures w14:val="standardContextual"/>
        </w:rPr>
        <w:t xml:space="preserve">Univerzitní rada bude povinna průběžně sledovat, zejména prostřednictvím rektora, činnost fakult a jejich výsledky a rozvoj v souladu s posláním, úkoly a strategií vysoké školy a pokud zjistí závažné nedostatky, bude povinna zjednat nápravu a v případě potřeby i navrhnout rektorovi odvolání děkana. </w:t>
      </w:r>
    </w:p>
    <w:p>
      <w:pPr>
        <w:pStyle w:val="Normal"/>
        <w:spacing w:before="0" w:after="160"/>
        <w:jc w:val="both"/>
        <w:rPr>
          <w:rFonts w:cs="Arial"/>
          <w:kern w:val="2"/>
          <w14:ligatures w14:val="standardContextual"/>
        </w:rPr>
      </w:pPr>
      <w:r>
        <w:rPr>
          <w:rFonts w:cs="Arial"/>
          <w:kern w:val="2"/>
          <w14:ligatures w14:val="standardContextual"/>
        </w:rPr>
        <w:t xml:space="preserve">Odpovědnost za naplňování univerzitní strategie činností dané fakulty (například prostřednictvím strategického záměru vzdělávací a tvůrčí činnosti fakulty), rozpočet, hospodaření a personální záležitosti týkající se fakulty nelze delegovat na jiné orgány fakulty než děkana. </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bookmarkStart w:id="6" w:name="_Toc228205262"/>
      <w:r>
        <w:rPr>
          <w:rFonts w:eastAsia="MS PGothic" w:cs="Arial"/>
          <w:b/>
          <w:bCs/>
          <w:kern w:val="2"/>
          <w14:ligatures w14:val="standardContextual"/>
        </w:rPr>
        <w:t>4.1.5 Další orgány vysoké školy nebo její součásti</w:t>
      </w:r>
      <w:bookmarkEnd w:id="6"/>
    </w:p>
    <w:p>
      <w:pPr>
        <w:pStyle w:val="Normal"/>
        <w:spacing w:before="0" w:after="160"/>
        <w:jc w:val="both"/>
        <w:rPr>
          <w:rFonts w:cs="Arial"/>
          <w:kern w:val="2"/>
          <w14:ligatures w14:val="standardContextual"/>
        </w:rPr>
      </w:pPr>
      <w:r>
        <w:rPr>
          <w:rFonts w:cs="Arial"/>
          <w:kern w:val="2"/>
          <w14:ligatures w14:val="standardContextual"/>
        </w:rPr>
        <w:t>Vysoká škola svým statutem zřídí jeden nebo více těchto orgánů, které svou působností pokryjí následující funkce:</w:t>
      </w:r>
    </w:p>
    <w:p>
      <w:pPr>
        <w:pStyle w:val="Normal"/>
        <w:numPr>
          <w:ilvl w:val="0"/>
          <w:numId w:val="55"/>
        </w:numPr>
        <w:spacing w:before="0" w:after="160"/>
        <w:contextualSpacing/>
        <w:jc w:val="both"/>
        <w:rPr>
          <w:rFonts w:cs="Arial"/>
          <w:kern w:val="2"/>
          <w14:ligatures w14:val="standardContextual"/>
        </w:rPr>
      </w:pPr>
      <w:r>
        <w:rPr>
          <w:rFonts w:cs="Arial"/>
          <w:kern w:val="2"/>
          <w14:ligatures w14:val="standardContextual"/>
        </w:rPr>
        <w:t>poradní orgán rektora v oblasti akademických kariér a personálního řízení, nazvaný například „vědecká rada“,</w:t>
      </w:r>
    </w:p>
    <w:p>
      <w:pPr>
        <w:pStyle w:val="Normal"/>
        <w:numPr>
          <w:ilvl w:val="0"/>
          <w:numId w:val="55"/>
        </w:numPr>
        <w:spacing w:before="0" w:after="160"/>
        <w:contextualSpacing/>
        <w:jc w:val="both"/>
        <w:rPr>
          <w:rFonts w:cs="Arial"/>
          <w:kern w:val="2"/>
          <w14:ligatures w14:val="standardContextual"/>
        </w:rPr>
      </w:pPr>
      <w:r>
        <w:rPr>
          <w:rFonts w:cs="Arial"/>
          <w:kern w:val="2"/>
          <w14:ligatures w14:val="standardContextual"/>
        </w:rPr>
        <w:t>orgán dohlížející na kvalitu činností vysoké školy, nazvaný například „rada pro kvalitu“,</w:t>
      </w:r>
    </w:p>
    <w:p>
      <w:pPr>
        <w:pStyle w:val="Normal"/>
        <w:numPr>
          <w:ilvl w:val="0"/>
          <w:numId w:val="55"/>
        </w:numPr>
        <w:spacing w:before="0" w:after="160"/>
        <w:contextualSpacing/>
        <w:jc w:val="both"/>
        <w:rPr>
          <w:rFonts w:cs="Arial"/>
          <w:kern w:val="2"/>
          <w14:ligatures w14:val="standardContextual"/>
        </w:rPr>
      </w:pPr>
      <w:r>
        <w:rPr>
          <w:rFonts w:cs="Arial"/>
          <w:kern w:val="2"/>
          <w14:ligatures w14:val="standardContextual"/>
        </w:rPr>
        <w:t>orgány usměrňující rozvoj jednotlivých studijních programů, koordinující jejich realizaci, sbírající a průběžně vyhodnocující zpětnou vazbu a řešící podněty studentů, nazvané například „rady studijních programů“,</w:t>
      </w:r>
    </w:p>
    <w:p>
      <w:pPr>
        <w:pStyle w:val="Normal"/>
        <w:numPr>
          <w:ilvl w:val="0"/>
          <w:numId w:val="55"/>
        </w:numPr>
        <w:spacing w:before="0" w:after="160"/>
        <w:contextualSpacing/>
        <w:jc w:val="both"/>
        <w:rPr>
          <w:rFonts w:cs="Arial"/>
          <w:kern w:val="2"/>
          <w14:ligatures w14:val="standardContextual"/>
        </w:rPr>
      </w:pPr>
      <w:r>
        <w:rPr>
          <w:rFonts w:cs="Arial"/>
          <w:kern w:val="2"/>
          <w14:ligatures w14:val="standardContextual"/>
        </w:rPr>
        <w:t>orgány zajišťující účast i členů akademické obce fakult na rozhodování v akademických a strategických otázkách týkajících se fakult, nazvané například „akademické senáty fakult“,</w:t>
      </w:r>
    </w:p>
    <w:p>
      <w:pPr>
        <w:pStyle w:val="Normal"/>
        <w:numPr>
          <w:ilvl w:val="0"/>
          <w:numId w:val="55"/>
        </w:numPr>
        <w:spacing w:before="0" w:after="160"/>
        <w:contextualSpacing/>
        <w:jc w:val="both"/>
        <w:rPr>
          <w:rFonts w:cs="Arial"/>
          <w:kern w:val="2"/>
          <w14:ligatures w14:val="standardContextual"/>
        </w:rPr>
      </w:pPr>
      <w:r>
        <w:rPr>
          <w:rFonts w:cs="Arial"/>
          <w:kern w:val="2"/>
          <w14:ligatures w14:val="standardContextual"/>
        </w:rPr>
        <w:t>orgán zajišťující ochranu práv studentů,</w:t>
      </w:r>
    </w:p>
    <w:p>
      <w:pPr>
        <w:pStyle w:val="Normal"/>
        <w:numPr>
          <w:ilvl w:val="0"/>
          <w:numId w:val="55"/>
        </w:numPr>
        <w:spacing w:before="0" w:after="160"/>
        <w:contextualSpacing/>
        <w:jc w:val="both"/>
        <w:rPr>
          <w:rFonts w:cs="Arial"/>
          <w:kern w:val="2"/>
          <w14:ligatures w14:val="standardContextual"/>
        </w:rPr>
      </w:pPr>
      <w:r>
        <w:rPr>
          <w:rFonts w:cs="Arial"/>
          <w:kern w:val="2"/>
          <w14:ligatures w14:val="standardContextual"/>
        </w:rPr>
        <w:t xml:space="preserve">orgán řešící prohřešky proti akademické etice a integritě, nazvaný například „etická komise“, “disciplinární komise” nebo “etická a disciplinární komise”. </w:t>
      </w:r>
    </w:p>
    <w:p>
      <w:pPr>
        <w:pStyle w:val="Normal"/>
        <w:spacing w:before="0" w:after="160"/>
        <w:jc w:val="both"/>
        <w:rPr>
          <w:rFonts w:cs="Arial"/>
          <w:kern w:val="2"/>
          <w14:ligatures w14:val="standardContextual"/>
        </w:rPr>
      </w:pPr>
      <w:r>
        <w:rPr>
          <w:rFonts w:cs="Arial"/>
          <w:kern w:val="2"/>
          <w14:ligatures w14:val="standardContextual"/>
        </w:rPr>
      </w:r>
    </w:p>
    <w:p>
      <w:pPr>
        <w:pStyle w:val="Normal"/>
        <w:spacing w:before="0" w:after="160"/>
        <w:jc w:val="both"/>
        <w:rPr>
          <w:rFonts w:cs="Arial"/>
          <w:kern w:val="2"/>
          <w14:ligatures w14:val="standardContextual"/>
        </w:rPr>
      </w:pPr>
      <w:r>
        <w:rPr>
          <w:rFonts w:cs="Arial"/>
          <w:kern w:val="2"/>
          <w14:ligatures w14:val="standardContextual"/>
        </w:rPr>
        <w:t>V orgánech plnících funkce podle bodů a) a b) budou významně zastoupeni externí všeobecně uznávání odborníci. Orgán podle bodu c) externí odborníky a zástupce zaměstnavatelů buď bude zahrnovat anebo je bude přizývat jako hosty při projednávání koncepčních rozhodnutí o podobě studijních programů a při vyhodnocování jejich kvality. V orgánech podle bodů b), c), d) a e) budou významně zastoupeni studenti. Poradní orgán bude moci současně vykonávat i více než jen jednu z působností uvedených v bodech a) až e).</w:t>
      </w:r>
    </w:p>
    <w:p>
      <w:pPr>
        <w:pStyle w:val="Normal"/>
        <w:spacing w:before="0" w:after="160"/>
        <w:jc w:val="both"/>
        <w:rPr>
          <w:rFonts w:cs="Arial"/>
          <w:kern w:val="2"/>
          <w14:ligatures w14:val="standardContextual"/>
        </w:rPr>
      </w:pPr>
      <w:r>
        <w:rPr>
          <w:rFonts w:cs="Arial"/>
          <w:kern w:val="2"/>
          <w14:ligatures w14:val="standardContextual"/>
        </w:rPr>
        <w:t>Uvedené další orgány budou pouze poradní a nebudou samostatně vykonávat veřejnou moc.</w:t>
      </w:r>
    </w:p>
    <w:p>
      <w:pPr>
        <w:pStyle w:val="Normal"/>
        <w:spacing w:before="0" w:after="160"/>
        <w:jc w:val="both"/>
        <w:rPr>
          <w:rFonts w:cs="Arial"/>
          <w:kern w:val="2"/>
          <w14:ligatures w14:val="standardContextual"/>
        </w:rPr>
      </w:pPr>
      <w:r>
        <w:rPr>
          <w:rFonts w:cs="Arial"/>
          <w:kern w:val="2"/>
          <w14:ligatures w14:val="standardContextual"/>
        </w:rPr>
        <w:t>Vysoká škola bude rovněž moci rozhodnutím univerzitní rady vytvořit jiné organizační součásti než fakulty (například vysokoškolské ústavy) a ustavit jejich orgány, a stejně tak je i změnit, sloučit nebo zrušit.</w:t>
      </w:r>
    </w:p>
    <w:p>
      <w:pPr>
        <w:pStyle w:val="Normal"/>
        <w:keepNext w:val="true"/>
        <w:keepLines/>
        <w:numPr>
          <w:ilvl w:val="0"/>
          <w:numId w:val="0"/>
        </w:numPr>
        <w:spacing w:lineRule="auto" w:line="259" w:before="240" w:after="0"/>
        <w:outlineLvl w:val="2"/>
        <w:rPr>
          <w:rFonts w:eastAsia="MS PGothic" w:cs="Arial"/>
          <w:b/>
          <w:bCs/>
          <w:kern w:val="2"/>
          <w14:ligatures w14:val="standardContextual"/>
        </w:rPr>
      </w:pPr>
      <w:r>
        <w:rPr>
          <w:rFonts w:eastAsia="MS PGothic" w:cs="Arial"/>
          <w:b/>
          <w:bCs/>
          <w:kern w:val="2"/>
          <w14:ligatures w14:val="standardContextual"/>
        </w:rPr>
        <w:t>4.1.6 Rovné zastoupení žen a mužů</w:t>
      </w:r>
    </w:p>
    <w:p>
      <w:pPr>
        <w:pStyle w:val="Normal"/>
        <w:keepNext w:val="true"/>
        <w:keepLines/>
        <w:numPr>
          <w:ilvl w:val="0"/>
          <w:numId w:val="0"/>
        </w:numPr>
        <w:spacing w:lineRule="auto" w:line="259" w:before="240" w:after="0"/>
        <w:jc w:val="both"/>
        <w:outlineLvl w:val="2"/>
        <w:rPr>
          <w:rFonts w:eastAsia="MS PGothic" w:cs="Arial"/>
          <w:bCs/>
          <w:kern w:val="2"/>
          <w14:ligatures w14:val="standardContextual"/>
        </w:rPr>
      </w:pPr>
      <w:r>
        <w:rPr>
          <w:rFonts w:eastAsia="MS PGothic" w:cs="Arial"/>
          <w:bCs/>
          <w:kern w:val="2"/>
          <w14:ligatures w14:val="standardContextual"/>
        </w:rPr>
        <w:t>Vysoká škola ve svých vnitřních předpisech stanoví pravidla podporující vyvážené zastoupení žen a mužů při ustavování kolektivních orgánů vysoké školy a jejích součástí, pokud tomu nebrání objektivní důvody vyplývající zejména ze složení oprávněných kandidujících osob nebo povahy daného orgánu.</w:t>
      </w:r>
    </w:p>
    <w:p>
      <w:pPr>
        <w:pStyle w:val="Normal"/>
        <w:keepNext w:val="true"/>
        <w:keepLines/>
        <w:numPr>
          <w:ilvl w:val="0"/>
          <w:numId w:val="0"/>
        </w:numPr>
        <w:spacing w:lineRule="auto" w:line="259" w:before="240" w:after="0"/>
        <w:outlineLvl w:val="2"/>
        <w:rPr>
          <w:rFonts w:ascii="Ebrima" w:hAnsi="Ebrima" w:eastAsia="MS PGothic" w:cs="Ebrima"/>
          <w:b/>
          <w:bCs/>
          <w:color w:val="D70C0F"/>
          <w:kern w:val="2"/>
          <w:sz w:val="24"/>
          <w:szCs w:val="24"/>
          <w14:ligatures w14:val="standardContextual"/>
        </w:rPr>
      </w:pPr>
      <w:r>
        <w:rPr>
          <w:rFonts w:eastAsia="MS PGothic" w:cs="Arial"/>
          <w:b/>
          <w:bCs/>
          <w:kern w:val="2"/>
          <w14:ligatures w14:val="standardContextual"/>
        </w:rPr>
        <w:t xml:space="preserve">4.1.7 Působnost ministerstva </w:t>
      </w:r>
    </w:p>
    <w:p>
      <w:pPr>
        <w:pStyle w:val="Normal"/>
        <w:spacing w:before="0" w:after="160"/>
        <w:jc w:val="both"/>
        <w:rPr>
          <w:rFonts w:cs="Arial"/>
          <w:kern w:val="2"/>
          <w14:ligatures w14:val="standardContextual"/>
        </w:rPr>
      </w:pPr>
      <w:r>
        <w:rPr>
          <w:rFonts w:cs="Arial"/>
          <w:kern w:val="2"/>
          <w14:ligatures w14:val="standardContextual"/>
        </w:rPr>
        <w:t>Pokud jde o odnímání nebo omezování působnosti ministerstvem (jehož úprava bude rámcově odpovídat obsahu § 38 současného zákona o vysokých školách), bude se týkat pouze orgánů vysoké školy, nikoliv orgánů součástí vysoké školy.</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4.1.8 Řízení soukromých vysokých škol</w:t>
      </w:r>
    </w:p>
    <w:p>
      <w:pPr>
        <w:pStyle w:val="Normal"/>
        <w:spacing w:lineRule="auto" w:line="257" w:before="120" w:after="0"/>
        <w:jc w:val="both"/>
        <w:rPr>
          <w:rFonts w:eastAsia="MS PGothic" w:cs="Arial"/>
          <w:kern w:val="2"/>
          <w14:ligatures w14:val="standardContextual"/>
        </w:rPr>
      </w:pPr>
      <w:r>
        <w:rPr>
          <w:rFonts w:eastAsia="Calibri" w:cs="Arial"/>
          <w:kern w:val="2"/>
          <w14:ligatures w14:val="standardContextual"/>
        </w:rPr>
        <w:t xml:space="preserve">Řízení soukromých vysokých škol bude regulováno obdobně jako ve stávající právní úpravě. </w:t>
      </w:r>
      <w:r>
        <w:rPr>
          <w:rFonts w:eastAsia="MS PGothic" w:cs="Arial"/>
          <w:kern w:val="2"/>
          <w14:ligatures w14:val="standardContextual"/>
        </w:rPr>
        <w:t>Nový zákon o vysokých školách zakotví obecné pravidlo, dle kterého vnitřní předpisy soukromé vysoké školy stanoví, které orgány právnické osoby, která má státní souhlas působit jako soukromá vysoká škola, budou vykonávat působnost vysoké školy, popřípadě působnost součásti vysoké školy, stanovenou v příslušných částech nového zákona o vysokých školách.</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4.1.9 Přechod na nový systém v oblasti řízení vysoké školy</w:t>
      </w:r>
    </w:p>
    <w:p>
      <w:pPr>
        <w:pStyle w:val="Normal"/>
        <w:jc w:val="both"/>
        <w:rPr>
          <w:rFonts w:cs="Arial"/>
          <w:kern w:val="2"/>
          <w14:ligatures w14:val="standardContextual"/>
        </w:rPr>
      </w:pPr>
      <w:r>
        <w:rPr>
          <w:rFonts w:cs="Arial"/>
          <w:kern w:val="2"/>
          <w14:ligatures w14:val="standardContextual"/>
        </w:rPr>
        <w:t>Organizační provedení přechodu z dosavadního systému na nový je citlivým momentem reformy. Aby přechod proběhl hladce, je nutné účinnost zákona rozložit do několika etap:</w:t>
      </w:r>
    </w:p>
    <w:p>
      <w:pPr>
        <w:pStyle w:val="Normal"/>
        <w:keepNext w:val="true"/>
        <w:keepLines/>
        <w:numPr>
          <w:ilvl w:val="0"/>
          <w:numId w:val="0"/>
        </w:numPr>
        <w:suppressAutoHyphens w:val="true"/>
        <w:spacing w:before="320" w:after="160"/>
        <w:outlineLvl w:val="2"/>
        <w:rPr>
          <w:rFonts w:eastAsia="MS PGothic" w:cs="Arial"/>
          <w:color w:val="0D0D0D"/>
          <w:kern w:val="2"/>
          <w14:ligatures w14:val="standardContextual"/>
        </w:rPr>
      </w:pPr>
      <w:r>
        <w:rPr>
          <w:rFonts w:eastAsia="MS PGothic" w:cs="Arial"/>
          <w:color w:val="0D0D0D"/>
          <w:kern w:val="2"/>
          <w14:ligatures w14:val="standardContextual"/>
        </w:rPr>
        <w:t>1. fáze – skládání nových univerzitních rad</w:t>
      </w:r>
    </w:p>
    <w:p>
      <w:pPr>
        <w:pStyle w:val="Normal"/>
        <w:spacing w:before="0" w:after="160"/>
        <w:jc w:val="both"/>
        <w:rPr>
          <w:rFonts w:cs="Arial"/>
          <w:kern w:val="2"/>
          <w14:ligatures w14:val="standardContextual"/>
        </w:rPr>
      </w:pPr>
      <w:r>
        <w:rPr>
          <w:rFonts w:cs="Arial"/>
          <w:kern w:val="2"/>
          <w14:ligatures w14:val="standardContextual"/>
        </w:rPr>
        <w:t>V první fázi implementace bude nutné složit nové univerzitní rady. Tato první fáze začne bezprostředně po schválení zákona a bude trvat zhruba rok. Během této fáze zůstává starý systém beze změn, se všemi stávajícími orgány a jejich pravomocemi.</w:t>
      </w:r>
    </w:p>
    <w:p>
      <w:pPr>
        <w:pStyle w:val="Normal"/>
        <w:spacing w:before="0" w:after="160"/>
        <w:jc w:val="both"/>
        <w:rPr>
          <w:rFonts w:cs="Arial"/>
          <w:kern w:val="2"/>
          <w14:ligatures w14:val="standardContextual"/>
        </w:rPr>
      </w:pPr>
      <w:r>
        <w:rPr>
          <w:rFonts w:cs="Arial"/>
          <w:kern w:val="2"/>
          <w14:ligatures w14:val="standardContextual"/>
        </w:rPr>
        <w:t xml:space="preserve">V případě akademického senátu se předpokládá kontinuita – roli akademického senátu bude vykonávat existující akademický senát (složený podle dosavadního zákona). Ten tak může začít vybírat „svou“ třetinu univerzitní rady bezprostředně po schválení zákona. </w:t>
      </w:r>
    </w:p>
    <w:p>
      <w:pPr>
        <w:pStyle w:val="Normal"/>
        <w:spacing w:before="0" w:after="160"/>
        <w:jc w:val="both"/>
        <w:rPr>
          <w:rFonts w:cs="Arial"/>
          <w:kern w:val="2"/>
          <w14:ligatures w14:val="standardContextual"/>
        </w:rPr>
      </w:pPr>
      <w:r>
        <w:rPr>
          <w:rFonts w:cs="Arial"/>
          <w:kern w:val="2"/>
          <w14:ligatures w14:val="standardContextual"/>
        </w:rPr>
        <w:t>Stejně tak může bezprostředně po schválení zákona ministerstvo začít ustavovat výběrové komise pro výběr druhé třetiny členů univerzitních rad s využitím návrhů ČKR, RVŠ a dané vysoké školy.</w:t>
      </w:r>
    </w:p>
    <w:p>
      <w:pPr>
        <w:pStyle w:val="Normal"/>
        <w:spacing w:before="0" w:after="160"/>
        <w:jc w:val="both"/>
        <w:rPr>
          <w:rFonts w:cs="Arial"/>
          <w:kern w:val="2"/>
          <w14:ligatures w14:val="standardContextual"/>
        </w:rPr>
      </w:pPr>
      <w:r>
        <w:rPr>
          <w:rFonts w:cs="Arial"/>
          <w:kern w:val="2"/>
          <w14:ligatures w14:val="standardContextual"/>
        </w:rPr>
        <w:t xml:space="preserve">Termín pro obsazení prvních dvou třetin rady se navrhuje stanovit na šest měsíců od účinnosti zákona – ke stejnému datu může být zároveň stanoven začátek výkonu funkce těchto členů. </w:t>
      </w:r>
    </w:p>
    <w:p>
      <w:pPr>
        <w:pStyle w:val="Normal"/>
        <w:spacing w:before="0" w:after="160"/>
        <w:jc w:val="both"/>
        <w:rPr>
          <w:rFonts w:cs="Arial"/>
          <w:kern w:val="2"/>
          <w14:ligatures w14:val="standardContextual"/>
        </w:rPr>
      </w:pPr>
      <w:r>
        <w:rPr>
          <w:rFonts w:cs="Arial"/>
          <w:kern w:val="2"/>
          <w14:ligatures w14:val="standardContextual"/>
        </w:rPr>
        <w:t>Následně budou jmenovaní členové univerzitní rady vybírat zbývající třetinu členů. Ostatní pravomoci univerzitní rada v této fázi nevykonává. Termín pro obsazení zbývajících míst v univerzitní radě bude stanoven na dalších šest měsíců po uplynutí první lhůty.</w:t>
      </w:r>
    </w:p>
    <w:p>
      <w:pPr>
        <w:pStyle w:val="Normal"/>
        <w:spacing w:before="0" w:after="160"/>
        <w:jc w:val="both"/>
        <w:rPr>
          <w:rFonts w:cs="Arial"/>
          <w:kern w:val="2"/>
          <w14:ligatures w14:val="standardContextual"/>
        </w:rPr>
      </w:pPr>
      <w:r>
        <w:rPr>
          <w:rFonts w:cs="Arial"/>
          <w:kern w:val="2"/>
          <w14:ligatures w14:val="standardContextual"/>
        </w:rPr>
        <w:t>Začátek výkonu funkce celé univerzitní rady bude stanoven na dvanáct měsíců ode dne nabytí účinnosti zákona.</w:t>
      </w:r>
    </w:p>
    <w:p>
      <w:pPr>
        <w:pStyle w:val="Normal"/>
        <w:keepNext w:val="true"/>
        <w:keepLines/>
        <w:numPr>
          <w:ilvl w:val="0"/>
          <w:numId w:val="0"/>
        </w:numPr>
        <w:suppressAutoHyphens w:val="true"/>
        <w:spacing w:before="320" w:after="160"/>
        <w:outlineLvl w:val="2"/>
        <w:rPr>
          <w:rFonts w:eastAsia="MS PGothic" w:cs="Arial"/>
          <w:color w:val="0D0D0D"/>
          <w:kern w:val="2"/>
          <w14:ligatures w14:val="standardContextual"/>
        </w:rPr>
      </w:pPr>
      <w:r>
        <w:rPr>
          <w:rFonts w:eastAsia="MS PGothic" w:cs="Arial"/>
          <w:color w:val="0D0D0D"/>
          <w:kern w:val="2"/>
          <w14:ligatures w14:val="standardContextual"/>
        </w:rPr>
        <w:t>2. fáze – příprava nových statutů a klíčových vnitřních předpisů vysokých škol</w:t>
      </w:r>
    </w:p>
    <w:p>
      <w:pPr>
        <w:pStyle w:val="Normal"/>
        <w:spacing w:before="0" w:after="160"/>
        <w:jc w:val="both"/>
        <w:rPr>
          <w:rFonts w:cs="Arial"/>
          <w:kern w:val="2"/>
          <w14:ligatures w14:val="standardContextual"/>
        </w:rPr>
      </w:pPr>
      <w:r>
        <w:rPr>
          <w:rFonts w:cs="Arial"/>
          <w:kern w:val="2"/>
          <w14:ligatures w14:val="standardContextual"/>
        </w:rPr>
        <w:t>Během druhé fáze musí nově ustavené univerzitní rady schválit nové statuty a další vnitřní předpisy nezbytně nutné pro to, aby vysoká škola mohla přejít na nový systém řízení. Především je nutné zajistit:</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proces výběru rektora,</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volební řád a pravidla pro složení akademického senátu,</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strukturu vysoké školy a proces výběru děkanů a jejich funkční období,</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strukturu a způsob obsazování dalších orgánů, které budou v zákoně vymezené pouze obecně (nástupnické orgány vědecké rady, rady pro vnitřní hodnocení, fakultních senátů ad.),</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a další přechodná ustanovení.</w:t>
      </w:r>
    </w:p>
    <w:p>
      <w:pPr>
        <w:pStyle w:val="Normal"/>
        <w:spacing w:before="0" w:after="160"/>
        <w:jc w:val="both"/>
        <w:rPr>
          <w:rFonts w:cs="Arial"/>
          <w:kern w:val="2"/>
          <w14:ligatures w14:val="standardContextual"/>
        </w:rPr>
      </w:pPr>
      <w:r>
        <w:rPr>
          <w:rFonts w:cs="Arial"/>
          <w:kern w:val="2"/>
          <w14:ligatures w14:val="standardContextual"/>
        </w:rPr>
      </w:r>
    </w:p>
    <w:p>
      <w:pPr>
        <w:pStyle w:val="Normal"/>
        <w:spacing w:before="0" w:after="160"/>
        <w:jc w:val="both"/>
        <w:rPr>
          <w:rFonts w:cs="Arial"/>
          <w:kern w:val="2"/>
          <w14:ligatures w14:val="standardContextual"/>
        </w:rPr>
      </w:pPr>
      <w:r>
        <w:rPr>
          <w:rFonts w:cs="Arial"/>
          <w:kern w:val="2"/>
          <w14:ligatures w14:val="standardContextual"/>
        </w:rPr>
        <w:t>Schvalování těchto předpisů již probíhá podle nového zákona – tj. univerzitní radou po projednání s akademickým senátem. Pokud jsou ve stejném období schvalovány vnitřní předpisy podléhající schválení akademickým senátem, schvaluje je akademický senát.</w:t>
      </w:r>
    </w:p>
    <w:p>
      <w:pPr>
        <w:pStyle w:val="Normal"/>
        <w:spacing w:before="0" w:after="160"/>
        <w:jc w:val="both"/>
        <w:rPr>
          <w:rFonts w:cs="Arial"/>
          <w:kern w:val="2"/>
          <w14:ligatures w14:val="standardContextual"/>
        </w:rPr>
      </w:pPr>
      <w:r>
        <w:rPr>
          <w:rFonts w:cs="Arial"/>
          <w:kern w:val="2"/>
          <w14:ligatures w14:val="standardContextual"/>
        </w:rPr>
        <w:t xml:space="preserve">U rektorů a děkanů, stejně jako dalších členů vedení v zákoně explicitně neuvedených, se předpokládá personální kontinuita – tj. stávající funkcionáři vykonávají své funkce až do konce mandátu. Během této fáze implementace má univerzitní rada nicméně právo prodloužit funkční období dosluhujících rektorů, děkanů a členů akademických senátů (nebo jejich členů, kteří jsou zaměstnanci vysoké školy) až o tři roky tak, aby výběr jejich nástupců mohl proběhnout již podle nových pravidel. Obdobně může stejnou pravomoc vztáhnout i na další vnitřní orgány vysoké školy tak, aby byl zajištěn plynulý přechod na nový režim. </w:t>
      </w:r>
    </w:p>
    <w:p>
      <w:pPr>
        <w:pStyle w:val="Normal"/>
        <w:spacing w:before="0" w:after="160"/>
        <w:jc w:val="both"/>
        <w:rPr>
          <w:rFonts w:cs="Arial"/>
          <w:kern w:val="2"/>
          <w14:ligatures w14:val="standardContextual"/>
        </w:rPr>
      </w:pPr>
      <w:r>
        <w:rPr>
          <w:rFonts w:cs="Arial"/>
          <w:kern w:val="2"/>
          <w14:ligatures w14:val="standardContextual"/>
        </w:rPr>
        <w:t>Univerzitní rada přijme nový statut, a případně výše uvedené vnitřní předpisy, tak, aby nabyly účinnosti nejdříve dva roky a nejvýše tři roky ode dne nabytí účinnosti zákona (tj. jeden až dva roky od začátku druhé fáze). Další orgány dle zákona (tj. kolektivní orgány mimo univerzitní rady a akademické senáty) musí zahájit činnost nejpozději do čtyř let ode dne nabytí účinnosti zákona.</w:t>
      </w:r>
    </w:p>
    <w:p>
      <w:pPr>
        <w:pStyle w:val="Normal"/>
        <w:keepNext w:val="true"/>
        <w:keepLines/>
        <w:numPr>
          <w:ilvl w:val="0"/>
          <w:numId w:val="0"/>
        </w:numPr>
        <w:suppressAutoHyphens w:val="true"/>
        <w:spacing w:before="320" w:after="160"/>
        <w:outlineLvl w:val="2"/>
        <w:rPr>
          <w:rFonts w:eastAsia="MS PGothic" w:cs="Arial"/>
          <w:color w:val="0D0D0D"/>
          <w:kern w:val="2"/>
          <w14:ligatures w14:val="standardContextual"/>
        </w:rPr>
      </w:pPr>
      <w:r>
        <w:rPr>
          <w:rFonts w:eastAsia="MS PGothic" w:cs="Arial"/>
          <w:color w:val="0D0D0D"/>
          <w:kern w:val="2"/>
          <w14:ligatures w14:val="standardContextual"/>
        </w:rPr>
        <w:t xml:space="preserve">Provoz vysoké školy v průběhu 2. fáze </w:t>
      </w:r>
    </w:p>
    <w:p>
      <w:pPr>
        <w:pStyle w:val="Normal"/>
        <w:spacing w:before="0" w:after="160"/>
        <w:jc w:val="both"/>
        <w:rPr>
          <w:rFonts w:cs="Arial"/>
          <w:kern w:val="2"/>
          <w14:ligatures w14:val="standardContextual"/>
        </w:rPr>
      </w:pPr>
      <w:r>
        <w:rPr>
          <w:rFonts w:cs="Arial"/>
          <w:kern w:val="2"/>
          <w14:ligatures w14:val="standardContextual"/>
        </w:rPr>
        <w:t>Se začátkem druhé fáze (tj. rok ode dne nabytí účinnosti zákona) zaniknou stávající správní rady a nové univerzitní rady začínají vykonávat kompetence v plném rozsahu podle nového zákona, tj.:</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schvalují strategii vysoké školy a dohlížejí na její plnění,</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dvoutřetinovou většinou rozhodují o zřízení, sloučení nebo zrušení součástí vysoké školy,</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schvalují rozpočet vysoké školy, nakládání s majetkem nad stanovenou hodnotu, zřizování právnických osob a návazné operace, a dohlížejí na hospodaření vysoké školy,</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v případě, že by v mezičase mělo dojít k výběru nového rektora, provádějí jeho výběr v souladu se zákonem,</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 xml:space="preserve">v případě, že by v mezičase mělo dojít k výběru nového děkana, mohou odmítnout navrženého kandidáta na děkana před jeho jmenováním, a </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mohou předložit rektorovi návrh na odvolání děkana.</w:t>
      </w:r>
    </w:p>
    <w:p>
      <w:pPr>
        <w:pStyle w:val="Normal"/>
        <w:spacing w:before="0" w:after="160"/>
        <w:jc w:val="both"/>
        <w:rPr>
          <w:rFonts w:cs="Arial"/>
          <w:kern w:val="2"/>
          <w14:ligatures w14:val="standardContextual"/>
        </w:rPr>
      </w:pPr>
      <w:r>
        <w:rPr>
          <w:rFonts w:cs="Arial"/>
          <w:kern w:val="2"/>
          <w14:ligatures w14:val="standardContextual"/>
        </w:rPr>
      </w:r>
    </w:p>
    <w:p>
      <w:pPr>
        <w:pStyle w:val="Normal"/>
        <w:spacing w:before="0" w:after="160"/>
        <w:jc w:val="both"/>
        <w:rPr>
          <w:rFonts w:cs="Arial"/>
          <w:kern w:val="2"/>
          <w14:ligatures w14:val="standardContextual"/>
        </w:rPr>
      </w:pPr>
      <w:r>
        <w:rPr>
          <w:rFonts w:cs="Arial"/>
          <w:kern w:val="2"/>
          <w14:ligatures w14:val="standardContextual"/>
        </w:rPr>
        <w:t>Působení ostatních dosavadních orgánů v přechodném období, resp. jejich pravomoci, odpovědnost ad., bude podrobně upraveno přechodnými ustanoveními nového zákona, přičemž obecně bude platit, že:</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dosavadní orgány budou ve druhé fázi v zásadě vykonávat dosavadní pravomoci s tím, že pravomoci, které budou v rozporu s novou rolí a pravomocemi rektora, novou rolí a pravomocemi univerzitní rady a s novým právním režimem vztahu VŠ (rektor) – fakulta (děkan) budou v rámci druhé fáze výslovně zrušeny nebo upraveny specificky,</w:t>
      </w:r>
    </w:p>
    <w:p>
      <w:pPr>
        <w:pStyle w:val="Normal"/>
        <w:keepLines/>
        <w:numPr>
          <w:ilvl w:val="0"/>
          <w:numId w:val="64"/>
        </w:numPr>
        <w:spacing w:lineRule="auto" w:line="259" w:before="0" w:after="160"/>
        <w:contextualSpacing/>
        <w:jc w:val="both"/>
        <w:rPr>
          <w:rFonts w:cs="Arial"/>
          <w:kern w:val="2"/>
          <w14:ligatures w14:val="standardContextual"/>
        </w:rPr>
      </w:pPr>
      <w:r>
        <w:rPr>
          <w:rFonts w:cs="Arial"/>
          <w:kern w:val="2"/>
          <w14:ligatures w14:val="standardContextual"/>
        </w:rPr>
        <w:t>tedy základní procesy, které jsou upraveny novým zákonem (schvalování vnitřních předpisů, strategie, rozpočet, výběr děkanů ad.) běží v režimu podle nového zákona,</w:t>
      </w:r>
    </w:p>
    <w:p>
      <w:pPr>
        <w:pStyle w:val="Normal"/>
        <w:keepLines/>
        <w:numPr>
          <w:ilvl w:val="0"/>
          <w:numId w:val="64"/>
        </w:numPr>
        <w:spacing w:lineRule="auto" w:line="259" w:before="0" w:after="160"/>
        <w:contextualSpacing/>
        <w:jc w:val="both"/>
        <w:rPr>
          <w:rFonts w:cs="Arial"/>
          <w:kern w:val="2"/>
          <w14:ligatures w14:val="standardContextual"/>
        </w:rPr>
      </w:pPr>
      <w:r>
        <w:rPr>
          <w:rFonts w:cs="Arial"/>
          <w:kern w:val="2"/>
          <w14:ligatures w14:val="standardContextual"/>
        </w:rPr>
        <w:t>existující vnitřní předpisy vysoké školy, které tyto procesy upřesňovaly dle starého zákona, se uplatní ve všech částech, které nejsou v rozporu s novým zákonem, a to dokud nebudou nahrazeny novými, tj. například pokud starý předpis předpokládal, že rozpočet vysoké školy schvaluje jak akademický senát, tak správní rada, tak část, která ošetřuje schvalování senátem, se neuplatní, a část, která ošetřuje schvalování správní radou, se uplatní na univerzitní radu,</w:t>
      </w:r>
    </w:p>
    <w:p>
      <w:pPr>
        <w:pStyle w:val="Normal"/>
        <w:keepLines/>
        <w:numPr>
          <w:ilvl w:val="0"/>
          <w:numId w:val="63"/>
        </w:numPr>
        <w:spacing w:lineRule="auto" w:line="259" w:before="0" w:after="160"/>
        <w:contextualSpacing/>
        <w:jc w:val="both"/>
        <w:rPr>
          <w:rFonts w:cs="Arial"/>
          <w:kern w:val="2"/>
          <w14:ligatures w14:val="standardContextual"/>
        </w:rPr>
      </w:pPr>
      <w:r>
        <w:rPr>
          <w:rFonts w:cs="Arial"/>
          <w:kern w:val="2"/>
          <w14:ligatures w14:val="standardContextual"/>
        </w:rPr>
        <w:t>ostatní vnitřní procesy vysoké školy, které nejsou přímo upraveny novým zákonem ani se netýkají procesů upravených novým zákonem, běží jako doposud do chvíle, než jsou případně upraveny (nahrazeny) procesy podle nových předpisů,</w:t>
      </w:r>
    </w:p>
    <w:p>
      <w:pPr>
        <w:pStyle w:val="Normal"/>
        <w:keepLines/>
        <w:numPr>
          <w:ilvl w:val="0"/>
          <w:numId w:val="63"/>
        </w:numPr>
        <w:spacing w:lineRule="auto" w:line="259" w:before="0" w:after="160"/>
        <w:contextualSpacing/>
        <w:jc w:val="both"/>
        <w:rPr>
          <w:rFonts w:cs="Arial"/>
          <w:kern w:val="2"/>
          <w14:ligatures w14:val="standardContextual"/>
        </w:rPr>
      </w:pPr>
      <w:r>
        <w:rPr>
          <w:rFonts w:cs="Arial"/>
          <w:kern w:val="2"/>
          <w14:ligatures w14:val="standardContextual"/>
        </w:rPr>
        <w:t>termín ukončení činnosti členů dosavadních orgánů (kromě děkanů, akademického senátu vysoké školy, kterým dobíhají původní funkční období, ale budou vykonávat pravomoci podle nového zákona) a konkrétní způsob ustavení nových orgánů stanoví statut vysoké školy a případné návazné vnitřní předpisy. Zákon stanoví nejzazší termín, do kdy toto musí nastat.</w:t>
      </w:r>
    </w:p>
    <w:p>
      <w:pPr>
        <w:pStyle w:val="Normal"/>
        <w:keepNext w:val="true"/>
        <w:keepLines/>
        <w:numPr>
          <w:ilvl w:val="0"/>
          <w:numId w:val="0"/>
        </w:numPr>
        <w:suppressAutoHyphens w:val="true"/>
        <w:spacing w:before="320" w:after="160"/>
        <w:outlineLvl w:val="2"/>
        <w:rPr>
          <w:rFonts w:eastAsia="MS PGothic" w:cs="Arial"/>
          <w:color w:val="0D0D0D"/>
          <w:kern w:val="2"/>
          <w14:ligatures w14:val="standardContextual"/>
        </w:rPr>
      </w:pPr>
      <w:r>
        <w:rPr>
          <w:rFonts w:eastAsia="MS PGothic" w:cs="Arial"/>
          <w:color w:val="0D0D0D"/>
          <w:kern w:val="2"/>
          <w14:ligatures w14:val="standardContextual"/>
        </w:rPr>
        <w:t>3. fáze – implementace nového systému řízení</w:t>
      </w:r>
    </w:p>
    <w:p>
      <w:pPr>
        <w:pStyle w:val="Normal"/>
        <w:spacing w:before="0" w:after="160"/>
        <w:jc w:val="both"/>
        <w:rPr>
          <w:rFonts w:cs="Arial"/>
          <w:kern w:val="2"/>
          <w14:ligatures w14:val="standardContextual"/>
        </w:rPr>
      </w:pPr>
      <w:r>
        <w:rPr>
          <w:rFonts w:cs="Arial"/>
          <w:kern w:val="2"/>
          <w14:ligatures w14:val="standardContextual"/>
        </w:rPr>
        <w:t>Začátek třetí fáze, ve které školy začínají fungovat plně podle nových pravidel, je již v režii jednotlivých univerzitních rad a ostatních orgánů dle schválených statutů a vnitřních předpisů.</w:t>
      </w:r>
    </w:p>
    <w:p>
      <w:pPr>
        <w:pStyle w:val="Normal"/>
        <w:spacing w:before="0" w:after="160"/>
        <w:jc w:val="both"/>
        <w:rPr>
          <w:rFonts w:cs="Arial"/>
          <w:b/>
          <w:bCs/>
          <w:kern w:val="2"/>
          <w14:ligatures w14:val="standardContextual"/>
        </w:rPr>
      </w:pPr>
      <w:r>
        <w:rPr>
          <w:rFonts w:cs="Arial"/>
          <w:b/>
          <w:bCs/>
          <w:kern w:val="2"/>
          <w14:ligatures w14:val="standardContextual"/>
        </w:rPr>
      </w:r>
    </w:p>
    <w:p>
      <w:pPr>
        <w:pStyle w:val="Normal"/>
        <w:shd w:val="clear" w:color="auto" w:fill="8DB3E2" w:themeFill="text2" w:themeFillTint="66"/>
        <w:rPr>
          <w:b/>
          <w:bCs/>
        </w:rPr>
      </w:pPr>
      <w:r>
        <w:rPr>
          <w:b/>
          <w:bCs/>
        </w:rPr>
        <w:t>4.2 Financování a hospodaření</w:t>
      </w:r>
    </w:p>
    <w:p>
      <w:pPr>
        <w:pStyle w:val="Normal"/>
        <w:keepNext w:val="true"/>
        <w:keepLines/>
        <w:numPr>
          <w:ilvl w:val="0"/>
          <w:numId w:val="0"/>
        </w:numPr>
        <w:suppressAutoHyphens w:val="true"/>
        <w:spacing w:before="320" w:after="160"/>
        <w:outlineLvl w:val="3"/>
        <w:rPr>
          <w:rFonts w:eastAsia="MS PGothic" w:cs="Arial"/>
          <w:kern w:val="2"/>
          <w14:ligatures w14:val="standardContextual"/>
        </w:rPr>
      </w:pPr>
      <w:r>
        <w:rPr>
          <w:rFonts w:eastAsia="MS PGothic" w:cs="Arial"/>
          <w:kern w:val="2"/>
          <w14:ligatures w14:val="standardContextual"/>
        </w:rPr>
        <w:t>Cíle právní úpravy:</w:t>
      </w:r>
    </w:p>
    <w:p>
      <w:pPr>
        <w:pStyle w:val="Normal"/>
        <w:numPr>
          <w:ilvl w:val="0"/>
          <w:numId w:val="69"/>
        </w:numPr>
        <w:spacing w:before="0" w:after="160"/>
        <w:contextualSpacing/>
        <w:jc w:val="both"/>
        <w:rPr>
          <w:rFonts w:cs="Arial"/>
          <w:kern w:val="2"/>
          <w14:ligatures w14:val="standardContextual"/>
        </w:rPr>
      </w:pPr>
      <w:r>
        <w:rPr>
          <w:rFonts w:cs="Arial"/>
          <w:kern w:val="2"/>
          <w14:ligatures w14:val="standardContextual"/>
        </w:rPr>
        <w:t>zavedení kontraktového financování na bázi smlouvy jako jednotného rámce pro dominantní část financování a nástroje strategického dialogu ministerstva s veřejnými vysokými školami,</w:t>
      </w:r>
    </w:p>
    <w:p>
      <w:pPr>
        <w:pStyle w:val="Normal"/>
        <w:numPr>
          <w:ilvl w:val="0"/>
          <w:numId w:val="69"/>
        </w:numPr>
        <w:spacing w:before="0" w:after="160"/>
        <w:contextualSpacing/>
        <w:jc w:val="both"/>
        <w:rPr>
          <w:rFonts w:cs="Arial"/>
          <w:kern w:val="2"/>
          <w14:ligatures w14:val="standardContextual"/>
        </w:rPr>
      </w:pPr>
      <w:r>
        <w:rPr>
          <w:rFonts w:cs="Arial"/>
          <w:kern w:val="2"/>
          <w14:ligatures w14:val="standardContextual"/>
        </w:rPr>
        <w:t>revize fondů, nové nastavení povinných a fakultativních fondů, jejich tvorby a využití,</w:t>
      </w:r>
    </w:p>
    <w:p>
      <w:pPr>
        <w:pStyle w:val="Normal"/>
        <w:numPr>
          <w:ilvl w:val="0"/>
          <w:numId w:val="69"/>
        </w:numPr>
        <w:spacing w:before="0" w:after="160"/>
        <w:contextualSpacing/>
        <w:jc w:val="both"/>
        <w:rPr>
          <w:rFonts w:cs="Arial"/>
          <w:kern w:val="2"/>
          <w14:ligatures w14:val="standardContextual"/>
        </w:rPr>
      </w:pPr>
      <w:r>
        <w:rPr>
          <w:rFonts w:cs="Arial"/>
          <w:kern w:val="2"/>
          <w14:ligatures w14:val="standardContextual"/>
        </w:rPr>
        <w:t>nastavení legislativního prostředí pro využívání finančních nástrojů.</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4.2.1 Kontraktové financování</w:t>
      </w:r>
    </w:p>
    <w:p>
      <w:pPr>
        <w:pStyle w:val="Normal"/>
        <w:keepNext w:val="true"/>
        <w:keepLines/>
        <w:numPr>
          <w:ilvl w:val="0"/>
          <w:numId w:val="0"/>
        </w:numPr>
        <w:suppressAutoHyphens w:val="true"/>
        <w:spacing w:before="320" w:after="160"/>
        <w:outlineLvl w:val="3"/>
        <w:rPr>
          <w:rFonts w:eastAsia="MS PGothic" w:cs="Arial"/>
          <w:kern w:val="2"/>
          <w14:ligatures w14:val="standardContextual"/>
        </w:rPr>
      </w:pPr>
      <w:r>
        <w:rPr>
          <w:rFonts w:eastAsia="MS PGothic" w:cs="Arial"/>
          <w:kern w:val="2"/>
          <w14:ligatures w14:val="standardContextual"/>
        </w:rPr>
        <w:t>Průřezové principy:</w:t>
      </w:r>
    </w:p>
    <w:p>
      <w:pPr>
        <w:pStyle w:val="Normal"/>
        <w:numPr>
          <w:ilvl w:val="0"/>
          <w:numId w:val="70"/>
        </w:numPr>
        <w:spacing w:lineRule="auto" w:line="240" w:before="120" w:after="160"/>
        <w:jc w:val="both"/>
        <w:rPr>
          <w:rFonts w:eastAsia="MS Mincho" w:cs="Arial"/>
          <w:bCs/>
          <w:lang w:eastAsia="cs-CZ"/>
        </w:rPr>
      </w:pPr>
      <w:r>
        <w:rPr>
          <w:rFonts w:eastAsia="MS Mincho" w:cs="Arial"/>
          <w:bCs/>
          <w:lang w:eastAsia="cs-CZ"/>
        </w:rPr>
        <w:t>Kontrakt jako jednotný rámec financování. Smlouva má pokrývat dominantní část prostředků, které vysoká škola od ministerstva obdrží, a to formou jednotného příspěvku. Mechanismus výpočtu částky pro jednotlivé vysoké školy zůstává mimo smlouvu i mimo její zákonné ukotvení a řídí se předem zveřejněnými pravidly ministerstva. Zákon obecně vymezí, že základními parametry pro stanovení výše finančních prostředků poskytovaných formou jednotného příspěvku jsou stávající kapacity a výkonnost vysoké školy.</w:t>
      </w:r>
    </w:p>
    <w:p>
      <w:pPr>
        <w:pStyle w:val="Normal"/>
        <w:numPr>
          <w:ilvl w:val="0"/>
          <w:numId w:val="70"/>
        </w:numPr>
        <w:spacing w:lineRule="auto" w:line="240" w:before="120" w:after="160"/>
        <w:jc w:val="both"/>
        <w:rPr>
          <w:rFonts w:eastAsia="MS Mincho" w:cs="Arial"/>
          <w:bCs/>
          <w:lang w:eastAsia="cs-CZ"/>
        </w:rPr>
      </w:pPr>
      <w:r>
        <w:rPr>
          <w:rFonts w:eastAsia="MS Mincho" w:cs="Arial"/>
          <w:bCs/>
          <w:lang w:eastAsia="cs-CZ"/>
        </w:rPr>
        <w:t>Kontrakt jako nástroj strategického dialogu, nikoli mikro-řízení. Malý počet cílů a indikátorů, konsolidace s existujícími povinnostmi (strategický záměr, výroční reporting).</w:t>
      </w:r>
    </w:p>
    <w:p>
      <w:pPr>
        <w:pStyle w:val="Normal"/>
        <w:numPr>
          <w:ilvl w:val="0"/>
          <w:numId w:val="70"/>
        </w:numPr>
        <w:spacing w:lineRule="auto" w:line="240" w:before="120" w:after="160"/>
        <w:jc w:val="both"/>
        <w:rPr>
          <w:rFonts w:eastAsia="MS Mincho" w:cs="Arial"/>
          <w:bCs/>
          <w:lang w:eastAsia="cs-CZ"/>
        </w:rPr>
      </w:pPr>
      <w:r>
        <w:rPr>
          <w:rFonts w:eastAsia="MS Mincho" w:cs="Arial"/>
          <w:bCs/>
          <w:lang w:eastAsia="cs-CZ"/>
        </w:rPr>
        <w:t xml:space="preserve">Partnerský revizní mechanismus podle finského vzoru. Změna smlouvy primárně dohodou stran formou dodatku; při nedosažení shody platí smlouva v dosavadním znění a jsou předem dány postupy řešení. </w:t>
      </w:r>
    </w:p>
    <w:p>
      <w:pPr>
        <w:pStyle w:val="Normal"/>
        <w:numPr>
          <w:ilvl w:val="0"/>
          <w:numId w:val="70"/>
        </w:numPr>
        <w:spacing w:lineRule="auto" w:line="240" w:before="120" w:after="160"/>
        <w:jc w:val="both"/>
        <w:rPr>
          <w:rFonts w:eastAsia="MS Mincho" w:cs="Arial"/>
          <w:bCs/>
          <w:lang w:eastAsia="cs-CZ"/>
        </w:rPr>
      </w:pPr>
      <w:r>
        <w:rPr>
          <w:rFonts w:eastAsia="MS Mincho" w:cs="Arial"/>
          <w:bCs/>
          <w:lang w:eastAsia="cs-CZ"/>
        </w:rPr>
        <w:t>Symetrická rozpočtová doložka. Předem sjednaný strop ročního snížení prostředků při poklesu státního rozpočtu, spojený s nárokem vysoké školy na přiměřené snížení cílových hodnot indikátoru.</w:t>
      </w:r>
    </w:p>
    <w:p>
      <w:pPr>
        <w:pStyle w:val="Normal"/>
        <w:widowControl w:val="false"/>
        <w:numPr>
          <w:ilvl w:val="0"/>
          <w:numId w:val="0"/>
        </w:numPr>
        <w:suppressAutoHyphens w:val="true"/>
        <w:spacing w:before="120" w:after="120"/>
        <w:outlineLvl w:val="3"/>
        <w:rPr>
          <w:rFonts w:eastAsia="MS PGothic" w:cs="Arial"/>
          <w:b/>
          <w:kern w:val="2"/>
          <w14:ligatures w14:val="standardContextual"/>
        </w:rPr>
      </w:pPr>
      <w:r>
        <w:rPr>
          <w:rFonts w:eastAsia="MS PGothic" w:cs="Arial"/>
          <w:b/>
          <w:kern w:val="2"/>
          <w14:ligatures w14:val="standardContextual"/>
        </w:rPr>
        <w:t>Koncepce smlouvy ve věcném záměru zákona</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Smlouva představuje souhrnný institut, jímž bude ministerstvo financovat veřejné vysoké školy. </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Peněžní prostředky poskytované na základě smlouvy budou mít povahu jednotného příspěvku a jejich poskytnutí je vázáno na plnění smluvních cílů a indikátorů (závazků) jako celku. Prostředky budou pro každou vysokou školu vypočteny podle pravidel předem známých a zveřejněných; nebude docházet k individuálnímu vyjednávání o úpravě těchto pravidel s jednotlivými vysokými školami. Tato pravidla budou konkretizací kritérií stanovených zákonem. Součástí smlouvy ani jejího legislativního ukotvení není způsob, jakým MŠMT dospěje k částce pro danou vysokou školu — ten bude dán jednotně aplikovanými pravidly ministerstva. Tímto způsobem bude rozpočítána drtivá většina prostředků ukazatele nebo ukazatelů rozpočtové kapitoly ministerstva, které budou poskytovány formou příspěvku; mimo smlouvu v rámci ukazatele „Vysoké školy“ zůstanou případná vládní stipendia či rezerva pro národní programy či další neočekávané události. Veřejné vysoké škole lze poskytnout prostředky i nad rámec příspěvku formou dotace.</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Tím není dotčena možnost vysoké školy uzavírat jiné vztahy s dalšími aktéry (jiná ministerstva, soukromá sféra, územní samosprávné celky) na plnění specifických zadání.</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Souhrn závazků státu vyplývajících ze smluv o financování veřejných vysokých škol nemůže překročit objem prostředků schválených pro financování veřejných vysokých škol v rámci státního rozpočtu na daný kalendářní rok.</w:t>
      </w:r>
    </w:p>
    <w:p>
      <w:pPr>
        <w:pStyle w:val="Normal"/>
        <w:widowControl w:val="false"/>
        <w:numPr>
          <w:ilvl w:val="0"/>
          <w:numId w:val="0"/>
        </w:numPr>
        <w:suppressAutoHyphens w:val="true"/>
        <w:spacing w:before="120" w:after="120"/>
        <w:jc w:val="both"/>
        <w:outlineLvl w:val="2"/>
        <w:rPr>
          <w:rFonts w:eastAsia="MS PGothic" w:cs="Arial"/>
          <w:bCs/>
          <w:kern w:val="2"/>
          <w14:ligatures w14:val="standardContextual"/>
        </w:rPr>
      </w:pPr>
      <w:r>
        <w:rPr>
          <w:rFonts w:eastAsia="MS PGothic" w:cs="Arial"/>
          <w:bCs/>
          <w:kern w:val="2"/>
          <w14:ligatures w14:val="standardContextual"/>
        </w:rPr>
        <w:t>Typologie indikátorů ve smlouvě</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Smlouva propojuje národní strategii s individuální misí každé instituce prostřednictvím tří typů indikátorů, které se liší povahou závazku:</w:t>
      </w:r>
    </w:p>
    <w:p>
      <w:pPr>
        <w:pStyle w:val="Normal"/>
        <w:widowControl w:val="false"/>
        <w:numPr>
          <w:ilvl w:val="0"/>
          <w:numId w:val="71"/>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Indikátory systémové — nastavené pro celý systém vysokých škol (nebo pro vymezenou skupinu vysokých škol obdobného poslání); jejich rolí je směrovat a sledovat činnost vysokých škol k dohodnutým výstupním hodnotám. Pro každou vysokou školu se vyjednají individuální cílové hodnoty s přihlédnutím k velikosti a profilu (včetně oborového). </w:t>
      </w:r>
    </w:p>
    <w:p>
      <w:pPr>
        <w:pStyle w:val="Normal"/>
        <w:widowControl w:val="false"/>
        <w:numPr>
          <w:ilvl w:val="0"/>
          <w:numId w:val="71"/>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Indikátory institucionální – specifické pro danou vysokou školu — výsledek negociace mezi ministerstvem a vysokou školou, odrážejí misi a strategický plán instituce. Nejen cílová hodnota, ale i samotná identifikace indikátoru probíhá v dialogu (dialog-based funding). Indikátory mohou být kvantitativní, binární i kvalitativní; smlouva upřesní způsob jejich monitoringu a vyhodnocování. </w:t>
      </w:r>
    </w:p>
    <w:p>
      <w:pPr>
        <w:pStyle w:val="Normal"/>
        <w:widowControl w:val="false"/>
        <w:numPr>
          <w:ilvl w:val="0"/>
          <w:numId w:val="71"/>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Indikátory vládní – vycházející z vládních/národních závazků a iniciativ — navázané na cíle či rozvojové priority vládou schváleného programu, typicky s dopadem na jednu nebo více vysokých škol a s vyhodnocením na úrovni vlády. Smluvní stranou vůči vysoké škole zůstává i zde ČR-Ministerstvo školství, mládeže a tělovýchovy, které tyto programy implementuje.</w:t>
      </w:r>
    </w:p>
    <w:p>
      <w:pPr>
        <w:pStyle w:val="Normal"/>
        <w:widowControl w:val="false"/>
        <w:numPr>
          <w:ilvl w:val="0"/>
          <w:numId w:val="0"/>
        </w:numPr>
        <w:suppressAutoHyphens w:val="true"/>
        <w:spacing w:before="120" w:after="120"/>
        <w:outlineLvl w:val="2"/>
        <w:rPr>
          <w:rFonts w:eastAsia="MS PGothic" w:cs="Arial"/>
          <w:bCs/>
          <w:kern w:val="2"/>
          <w14:ligatures w14:val="standardContextual"/>
        </w:rPr>
      </w:pPr>
      <w:r>
        <w:rPr>
          <w:rFonts w:eastAsia="MS PGothic" w:cs="Arial"/>
          <w:bCs/>
          <w:kern w:val="2"/>
          <w14:ligatures w14:val="standardContextual"/>
        </w:rPr>
        <w:t>Proces uzavírání smlouvy:</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Proces je konstruován dvoustupňově — národní rámec a institucionální individualizace, a to při zachování transparentního určení celkové částky, jejíž výše nebude předmětem vyjednávání. Zákon stanoví základní harmonogram, resp. lhůtu, ve které má dojít k dohodě, a případné nápravné mechanismy, pokud by k dohodě nedošlo. Další detail bude určen interními pravidly MŠMT.</w:t>
      </w:r>
    </w:p>
    <w:p>
      <w:pPr>
        <w:pStyle w:val="Normal"/>
        <w:widowControl w:val="false"/>
        <w:numPr>
          <w:ilvl w:val="0"/>
          <w:numId w:val="0"/>
        </w:numPr>
        <w:suppressAutoHyphens w:val="true"/>
        <w:spacing w:before="120" w:after="120"/>
        <w:jc w:val="both"/>
        <w:outlineLvl w:val="2"/>
        <w:rPr>
          <w:rFonts w:eastAsia="MS PGothic" w:cs="Arial"/>
          <w:color w:val="0D0D0D"/>
          <w:kern w:val="2"/>
          <w14:ligatures w14:val="standardContextual"/>
        </w:rPr>
      </w:pPr>
      <w:r>
        <w:rPr>
          <w:rFonts w:eastAsia="MS PGothic" w:cs="Arial"/>
          <w:color w:val="0D0D0D"/>
          <w:kern w:val="2"/>
          <w14:ligatures w14:val="standardContextual"/>
        </w:rPr>
        <w:t>Jednotlivé kroky procesu:</w:t>
      </w:r>
    </w:p>
    <w:p>
      <w:pPr>
        <w:pStyle w:val="Normal"/>
        <w:widowControl w:val="false"/>
        <w:numPr>
          <w:ilvl w:val="0"/>
          <w:numId w:val="72"/>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Národní rámec. V omezeném počtu strategických oblastí spolu s vysokými školami MŠMT formuluje vhodnou formou systémové cíle, tedy kam se má celkově vysoké školství v daném období posunout. Rámec nestanovuje jednotné indikátory ani cílové hodnoty pro všechny vysoké školy — s výjimkou systémových indikátorů, u nichž jsou však individuální cílové hodnoty rovněž předmětem vyjednávání.</w:t>
      </w:r>
    </w:p>
    <w:p>
      <w:pPr>
        <w:pStyle w:val="Normal"/>
        <w:widowControl w:val="false"/>
        <w:numPr>
          <w:ilvl w:val="0"/>
          <w:numId w:val="72"/>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Institucionální návrh. Vysoká škola na základě vlastní strategie navrhne v daných oblastech v diskusi s ministerstvem omezený počet specifických, ověřitelných cílů odpovídajících jejímu profilu. Zvolení specifických indikátorů v mezích rámce je klíčovou pojistkou proti homogenizaci (tj. posiluje profilaci dané vysoké školy) i proti zásahům do akademické autonomie.</w:t>
      </w:r>
    </w:p>
    <w:p>
      <w:pPr>
        <w:pStyle w:val="Normal"/>
        <w:widowControl w:val="false"/>
        <w:numPr>
          <w:ilvl w:val="0"/>
          <w:numId w:val="72"/>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Vyjednávací dialog o obsahu cílů a indikátorů mezi vedením vysoké školy a ministerstvem.</w:t>
      </w:r>
    </w:p>
    <w:p>
      <w:pPr>
        <w:pStyle w:val="Normal"/>
        <w:widowControl w:val="false"/>
        <w:numPr>
          <w:ilvl w:val="0"/>
          <w:numId w:val="72"/>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Uzavření smlouvy.</w:t>
      </w:r>
    </w:p>
    <w:p>
      <w:pPr>
        <w:pStyle w:val="Normal"/>
        <w:widowControl w:val="false"/>
        <w:numPr>
          <w:ilvl w:val="0"/>
          <w:numId w:val="72"/>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Doba trvání smlouvy 5 let, provázaná se strategickým záměrem vysoké školy. </w:t>
      </w:r>
    </w:p>
    <w:p>
      <w:pPr>
        <w:pStyle w:val="Normal"/>
        <w:widowControl w:val="false"/>
        <w:numPr>
          <w:ilvl w:val="0"/>
          <w:numId w:val="72"/>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Průběžné monitorování.</w:t>
      </w:r>
    </w:p>
    <w:p>
      <w:pPr>
        <w:pStyle w:val="Normal"/>
        <w:widowControl w:val="false"/>
        <w:numPr>
          <w:ilvl w:val="0"/>
          <w:numId w:val="72"/>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Závěrečné vyhodnocení na konci období jako podklad pro financování v dalším období i pro formulaci smlouvy na další období.</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V případě nesjednání první smlouvy (smlouvy, které žádná smlouva nepředchází) v zákonem stanovené lhůtě, ministerstvo vydá pouze roční rozhodnutí, přičemž výše příspěvku, stanovená ministerstvem podle pravidel, zohlední fakt, že nedošlo k uzavření smlouvy obsahující závazky vysoké školy a zároveň umožní vysoké škole pokračovat ve vzdělávací činnosti zahájené v předchozím období. Dále v případě nesjednání smlouvy budou vysoké škole kráceny určeným poměrem finanční prostředky ve výši, která vysoké škole byla stanovena v souladu s pravidly ministerstva, a budou jí poskytnuty na základě rozhodnutí vydaného na jeden rok. Pokud následně k dohodě dojde, bude smlouva s danou vysokou školou uzavřena pouze na zbytek období, na které byly smlouvy s vysokými školami uzavřeny standardně. V případě sporného řízení dle správního řádu rozhoduje ministr školství.</w:t>
      </w:r>
    </w:p>
    <w:p>
      <w:pPr>
        <w:pStyle w:val="Normal"/>
        <w:widowControl w:val="false"/>
        <w:numPr>
          <w:ilvl w:val="0"/>
          <w:numId w:val="0"/>
        </w:numPr>
        <w:suppressAutoHyphens w:val="true"/>
        <w:spacing w:before="120" w:after="120"/>
        <w:outlineLvl w:val="2"/>
        <w:rPr>
          <w:rFonts w:eastAsia="MS PGothic" w:cs="Arial"/>
          <w:b/>
          <w:kern w:val="2"/>
          <w14:ligatures w14:val="standardContextual"/>
        </w:rPr>
      </w:pPr>
      <w:r>
        <w:rPr>
          <w:rFonts w:eastAsia="MS PGothic" w:cs="Arial"/>
          <w:b/>
          <w:kern w:val="2"/>
          <w14:ligatures w14:val="standardContextual"/>
        </w:rPr>
        <w:t>Smlouva o financování veřejné vysoké školy – parametry v zákoně:</w:t>
      </w:r>
    </w:p>
    <w:p>
      <w:pPr>
        <w:pStyle w:val="Normal"/>
        <w:keepNext w:val="true"/>
        <w:keepLines/>
        <w:numPr>
          <w:ilvl w:val="0"/>
          <w:numId w:val="0"/>
        </w:numPr>
        <w:suppressAutoHyphens w:val="true"/>
        <w:spacing w:before="320" w:after="160"/>
        <w:outlineLvl w:val="4"/>
        <w:rPr>
          <w:rFonts w:eastAsia="MS PGothic" w:cs="Arial"/>
          <w:bCs/>
          <w:kern w:val="2"/>
          <w14:ligatures w14:val="standardContextual"/>
        </w:rPr>
      </w:pPr>
      <w:r>
        <w:rPr>
          <w:rFonts w:eastAsia="MS PGothic" w:cs="Arial"/>
          <w:bCs/>
          <w:kern w:val="2"/>
          <w14:ligatures w14:val="standardContextual"/>
        </w:rPr>
        <w:t>Základní vymezení</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(1) Právní povaha a strany. Ministerstvo iniciuje a uzavírá s každou veřejnou vysokou školou veřejnoprávní smlouvu o financování, jejímž prostřednictvím se realizuje nárok vysoké školy na příspěvek. Smlouvu za vysokou školu uzavírá rektor po schválení závazků školy univerzitní radou; schválení je zákonnou podmínkou. </w:t>
      </w:r>
    </w:p>
    <w:p>
      <w:pPr>
        <w:pStyle w:val="Normal"/>
        <w:widowControl w:val="false"/>
        <w:numPr>
          <w:ilvl w:val="0"/>
          <w:numId w:val="0"/>
        </w:numPr>
        <w:suppressAutoHyphens w:val="true"/>
        <w:spacing w:before="120" w:after="120"/>
        <w:outlineLvl w:val="2"/>
        <w:rPr>
          <w:rFonts w:eastAsia="MS PGothic" w:cs="Arial"/>
          <w:kern w:val="2"/>
          <w14:ligatures w14:val="standardContextual"/>
        </w:rPr>
      </w:pPr>
      <w:r>
        <w:rPr>
          <w:rFonts w:eastAsia="MS PGothic" w:cs="Arial"/>
          <w:kern w:val="2"/>
          <w14:ligatures w14:val="standardContextual"/>
        </w:rPr>
        <w:t>(2) Doba trvání. Smlouva se uzavírá na dobu 5 let.</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(3) Obsahové náležitosti. Smlouva obsahuje: </w:t>
      </w:r>
    </w:p>
    <w:p>
      <w:pPr>
        <w:pStyle w:val="Normal"/>
        <w:widowControl w:val="false"/>
        <w:numPr>
          <w:ilvl w:val="0"/>
          <w:numId w:val="74"/>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celkovou výši prostředků poskytovaných vysoké škole ze státního rozpočtu formou příspěvku pro první rok a podíl na daném ukazateli či ukazatelích státního rozpočtu po dobu trvání smlouvy, včetně způsobu ročního čerpání, součástí příspěvku je institucionální podpora výzkumné organizace ve výši stanovené v souladu se zákonem č. 328/2025 Sb., o výzkumu, vývoji, inovacích a transferu znalostí;</w:t>
      </w:r>
    </w:p>
    <w:p>
      <w:pPr>
        <w:pStyle w:val="Normal"/>
        <w:widowControl w:val="false"/>
        <w:numPr>
          <w:ilvl w:val="0"/>
          <w:numId w:val="74"/>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soubor cílů a indikátorů v členění na indikátory systémové, indikátory institucionální (specifické pro danou vysokou školu) a indikátory vyplývající z vládou schválených programů; počet systémových, institucionálních a vládních indikátorů nesmí přesáhnout předem stanovený limit;</w:t>
      </w:r>
    </w:p>
    <w:p>
      <w:pPr>
        <w:pStyle w:val="Normal"/>
        <w:widowControl w:val="false"/>
        <w:numPr>
          <w:ilvl w:val="0"/>
          <w:numId w:val="74"/>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výchozí a cílové hodnoty indikátorů;</w:t>
      </w:r>
    </w:p>
    <w:p>
      <w:pPr>
        <w:pStyle w:val="Normal"/>
        <w:widowControl w:val="false"/>
        <w:numPr>
          <w:ilvl w:val="0"/>
          <w:numId w:val="74"/>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důsledky nesplnění indikátorů v podobě nápravných opatření;</w:t>
      </w:r>
    </w:p>
    <w:p>
      <w:pPr>
        <w:pStyle w:val="Normal"/>
        <w:widowControl w:val="false"/>
        <w:numPr>
          <w:ilvl w:val="0"/>
          <w:numId w:val="74"/>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rozpočtovou doložku (viz níže) a ustanovení o změně smlouvy, interim evaluaci;</w:t>
      </w:r>
    </w:p>
    <w:p>
      <w:pPr>
        <w:pStyle w:val="Normal"/>
        <w:widowControl w:val="false"/>
        <w:numPr>
          <w:ilvl w:val="0"/>
          <w:numId w:val="74"/>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způsob a periodicitu vyhodnocování plnění smlouvy. </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(4) Vztah ke strategickému záměru. Návrh smlouvy vychází ze strategického záměru vysoké školy (mise vysoké školy) a strategického záměru ministerstva.</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(5) Zveřejnění. Ministerstvo je povinno smlouvy zveřejnit na svých webových stránkách. Smlouvy se nezveřejňují v Registru smluv.</w:t>
      </w:r>
    </w:p>
    <w:p>
      <w:pPr>
        <w:pStyle w:val="Normal"/>
        <w:keepNext w:val="true"/>
        <w:keepLines/>
        <w:numPr>
          <w:ilvl w:val="0"/>
          <w:numId w:val="0"/>
        </w:numPr>
        <w:suppressAutoHyphens w:val="true"/>
        <w:spacing w:before="320" w:after="160"/>
        <w:outlineLvl w:val="4"/>
        <w:rPr>
          <w:rFonts w:eastAsia="MS PGothic" w:cs="Arial"/>
          <w:kern w:val="2"/>
          <w14:ligatures w14:val="standardContextual"/>
        </w:rPr>
      </w:pPr>
      <w:r>
        <w:rPr>
          <w:rFonts w:eastAsia="MS PGothic" w:cs="Arial"/>
          <w:kern w:val="2"/>
          <w14:ligatures w14:val="standardContextual"/>
        </w:rPr>
        <w:t>Změna smlouvy</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Pro revizi smlouvy v průběhu jejího trvání je navrhován standardizovaný postup: identifikace potřeby změny, formální jednání mezi vysokou školou a MŠMT, návrh dodatku ke smlouvě (změněné cíle, upravené indikátory, případně upravené financování, časový rámec), schválení oběma stranami, písemný, zveřejněný, právně závazný dodatek. </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Ministerstvo nebo vysoká škola mohou dát podnět k úpravě smlouvy dodatkem, nastane-li zejména: </w:t>
      </w:r>
    </w:p>
    <w:p>
      <w:pPr>
        <w:pStyle w:val="Normal"/>
        <w:widowControl w:val="false"/>
        <w:numPr>
          <w:ilvl w:val="0"/>
          <w:numId w:val="0"/>
        </w:numPr>
        <w:suppressAutoHyphens w:val="true"/>
        <w:spacing w:before="120" w:after="120"/>
        <w:ind w:start="360"/>
        <w:jc w:val="both"/>
        <w:outlineLvl w:val="2"/>
        <w:rPr>
          <w:rFonts w:eastAsia="MS PGothic" w:cs="Arial"/>
          <w:kern w:val="2"/>
          <w14:ligatures w14:val="standardContextual"/>
        </w:rPr>
      </w:pPr>
      <w:r>
        <w:rPr>
          <w:rFonts w:eastAsia="MS PGothic" w:cs="Arial"/>
          <w:kern w:val="2"/>
          <w14:ligatures w14:val="standardContextual"/>
        </w:rPr>
        <w:t xml:space="preserve">a) podstatná změna národních priorit vyjádřených ve strategickém záměru ministerstva; </w:t>
      </w:r>
    </w:p>
    <w:p>
      <w:pPr>
        <w:pStyle w:val="Normal"/>
        <w:widowControl w:val="false"/>
        <w:numPr>
          <w:ilvl w:val="0"/>
          <w:numId w:val="0"/>
        </w:numPr>
        <w:suppressAutoHyphens w:val="true"/>
        <w:spacing w:before="120" w:after="120"/>
        <w:ind w:start="360"/>
        <w:jc w:val="both"/>
        <w:outlineLvl w:val="2"/>
        <w:rPr>
          <w:rFonts w:eastAsia="MS PGothic" w:cs="Arial"/>
          <w:kern w:val="2"/>
          <w14:ligatures w14:val="standardContextual"/>
        </w:rPr>
      </w:pPr>
      <w:r>
        <w:rPr>
          <w:rFonts w:eastAsia="MS PGothic" w:cs="Arial"/>
          <w:kern w:val="2"/>
          <w14:ligatures w14:val="standardContextual"/>
        </w:rPr>
        <w:t xml:space="preserve">b) podstatná změna právního rámce nebo podmínek financování vysokých škol; </w:t>
      </w:r>
    </w:p>
    <w:p>
      <w:pPr>
        <w:pStyle w:val="Normal"/>
        <w:widowControl w:val="false"/>
        <w:numPr>
          <w:ilvl w:val="0"/>
          <w:numId w:val="0"/>
        </w:numPr>
        <w:suppressAutoHyphens w:val="true"/>
        <w:spacing w:before="120" w:after="120"/>
        <w:ind w:start="360"/>
        <w:jc w:val="both"/>
        <w:outlineLvl w:val="2"/>
        <w:rPr>
          <w:rFonts w:eastAsia="MS PGothic" w:cs="Arial"/>
          <w:kern w:val="2"/>
          <w14:ligatures w14:val="standardContextual"/>
        </w:rPr>
      </w:pPr>
      <w:r>
        <w:rPr>
          <w:rFonts w:eastAsia="MS PGothic" w:cs="Arial"/>
          <w:kern w:val="2"/>
          <w14:ligatures w14:val="standardContextual"/>
        </w:rPr>
        <w:t xml:space="preserve">c) podstatná změna profilu nebo strategie vysoké školy oproti stavu, z něhož smlouva vycházela. </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Vysoká škola informuje ministerstvo o skutečnosti podle písm. c) bez zbytečného odkladu, nezávisle na pravidelném hodnocení. </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Postup projednání: Podnět se projednává formálním jednáním mezi vedením vysoké školy (rektor) a ministerstvem. Návrh dodatku obsahuje upravené či doplněné cíle a indikátory, případnou úpravu výše nebo struktury financování a časový rámec uplatnění. Dodatek ke smlouvě uzavře za vysokou školu rektor po schválení univerzitní radou; účinnosti nabývá schválením oběma stranami a podléhá zveřejnění.</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Důsledek nedosažení shody: Nedojde-li k dohodě o dodatku z hlediska povahy závazků, bude smlouva platit v dosavadním znění nezměněna až do konce doby trvání nebo do doby, kdy strany dohody dosáhnou. </w:t>
      </w:r>
    </w:p>
    <w:p>
      <w:pPr>
        <w:pStyle w:val="Normal"/>
        <w:keepNext w:val="true"/>
        <w:keepLines/>
        <w:numPr>
          <w:ilvl w:val="0"/>
          <w:numId w:val="0"/>
        </w:numPr>
        <w:suppressAutoHyphens w:val="true"/>
        <w:spacing w:before="320" w:after="160"/>
        <w:outlineLvl w:val="4"/>
        <w:rPr>
          <w:rFonts w:eastAsia="MS PGothic" w:cs="Arial"/>
          <w:color w:val="545860"/>
          <w:kern w:val="2"/>
          <w14:ligatures w14:val="standardContextual"/>
        </w:rPr>
      </w:pPr>
      <w:r>
        <w:rPr>
          <w:rFonts w:eastAsia="MS PGothic" w:cs="Arial"/>
          <w:kern w:val="2"/>
          <w14:ligatures w14:val="standardContextual"/>
        </w:rPr>
        <w:t>Rozpočtová doložka a symetrie závazků</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Bude rozlišen obsah závazků (cíle, indikátory — plně v režimu vyjednávání viz výše) od parametru rozpočtového kolísání, který je sjednán předem jako oboustranně odsouhlasená podmínka již při podpisu smlouvy. Doložka přitom musí být symetrická. Pokud by omezovala pouze rozsah, v jakém stát smí snížit financování, nesla by vysoká škola veškeré riziko výkyvu sama: dostala by méně prostředků, ale zůstala by vázána cíli kalkulovanými s plným financováním. To by porušovalo zásadu reálné dosažitelnosti cílů, snižovalo důvěryhodnost smlouvy jako oboustranného nástroje a bylo v rozporu s obecnou smluvní zásadou zachování vyváženosti plnění při podstatné změně okolností. </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Rozpočtová doložka obsahuje:</w:t>
      </w:r>
    </w:p>
    <w:p>
      <w:pPr>
        <w:pStyle w:val="Normal"/>
        <w:widowControl w:val="false"/>
        <w:numPr>
          <w:ilvl w:val="0"/>
          <w:numId w:val="73"/>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ujednání o nejvyšším možném ročním snížení celkové výše prostředků pro případ, že objem prostředků státního rozpočtu určený na financování veřejných vysokých škol bude v příslušném roce nižší, než se předpokládalo při uzavření smlouvy. Snížení nesmí v jednotlivém roce přesáhnout smlouvou sjednanou hranici; </w:t>
      </w:r>
    </w:p>
    <w:p>
      <w:pPr>
        <w:pStyle w:val="Normal"/>
        <w:widowControl w:val="false"/>
        <w:numPr>
          <w:ilvl w:val="0"/>
          <w:numId w:val="73"/>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dojde-li ke snížení prostředků, má vysoká škola nárok na přiměřené snížení cílových hodnot indikátorů, a to v rozsahu odpovídajícím míře, v jaké snížení prostředků objektivně ovlivňuje dosažitelnost sjednaných cílů, způsob výpočtu přiměřeného snížení je sjednán předem jako součást smlouvy — např. diferencovaná úměra podle typu indikátoru (silnější u indikátorů přímo závislých na objemu financování, slabší u kvalitativních závazků). </w:t>
      </w:r>
    </w:p>
    <w:p>
      <w:pPr>
        <w:pStyle w:val="Normal"/>
        <w:widowControl w:val="false"/>
        <w:numPr>
          <w:ilvl w:val="0"/>
          <w:numId w:val="73"/>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 xml:space="preserve">nárok podle předchozího bodu vzniká přímo uplatněním doložky a nevyžaduje samostatné jednání o dodatku, má-li kterákoli strana za to, že mechanismus v konkrétním případě dostatečně nezohledňuje dopad snížení na některý indikátor, může dát podnět k projednání dodatku.  </w:t>
      </w:r>
    </w:p>
    <w:p>
      <w:pPr>
        <w:pStyle w:val="Normal"/>
        <w:keepNext w:val="true"/>
        <w:keepLines/>
        <w:numPr>
          <w:ilvl w:val="0"/>
          <w:numId w:val="0"/>
        </w:numPr>
        <w:suppressAutoHyphens w:val="true"/>
        <w:spacing w:before="320" w:after="160"/>
        <w:outlineLvl w:val="4"/>
        <w:rPr>
          <w:rFonts w:eastAsia="MS PGothic" w:cs="Arial"/>
          <w:bCs/>
          <w:kern w:val="2"/>
          <w14:ligatures w14:val="standardContextual"/>
        </w:rPr>
      </w:pPr>
      <w:r>
        <w:rPr>
          <w:rFonts w:eastAsia="MS PGothic" w:cs="Arial"/>
          <w:bCs/>
          <w:kern w:val="2"/>
          <w14:ligatures w14:val="standardContextual"/>
        </w:rPr>
        <w:t>Interim evaluace</w:t>
      </w:r>
    </w:p>
    <w:p>
      <w:pPr>
        <w:pStyle w:val="Normal"/>
        <w:widowControl w:val="false"/>
        <w:numPr>
          <w:ilvl w:val="0"/>
          <w:numId w:val="0"/>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V polovině doby trvání smlouvy provede ministerstvo s vysokou školou interim evaluaci plnění. Výsledky evaluace mohou vést k uzavření dodatku upravujícího specifické indikátory nebo výši prostředků s nimi spojených. Na rozdíl od mimořádné revize jde o řádný, předem plánovaný kontrolní bod, který nevyžaduje prokazování „podstatné změny okolností".</w:t>
      </w:r>
    </w:p>
    <w:p>
      <w:pPr>
        <w:pStyle w:val="Normal"/>
        <w:keepNext w:val="true"/>
        <w:keepLines/>
        <w:numPr>
          <w:ilvl w:val="0"/>
          <w:numId w:val="0"/>
        </w:numPr>
        <w:suppressAutoHyphens w:val="true"/>
        <w:spacing w:before="320" w:after="160"/>
        <w:outlineLvl w:val="4"/>
        <w:rPr>
          <w:rFonts w:eastAsia="MS PGothic" w:cs="Arial"/>
          <w:kern w:val="2"/>
          <w14:ligatures w14:val="standardContextual"/>
        </w:rPr>
      </w:pPr>
      <w:r>
        <w:rPr>
          <w:rFonts w:eastAsia="MS PGothic" w:cs="Arial"/>
          <w:kern w:val="2"/>
          <w14:ligatures w14:val="standardContextual"/>
        </w:rPr>
        <w:t>Zákonné vymezení smlouvy:</w:t>
      </w:r>
    </w:p>
    <w:p>
      <w:pPr>
        <w:pStyle w:val="Normal"/>
        <w:widowControl w:val="false"/>
        <w:numPr>
          <w:ilvl w:val="0"/>
          <w:numId w:val="73"/>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Půjde o veřejnoprávní smlouvu.</w:t>
      </w:r>
    </w:p>
    <w:p>
      <w:pPr>
        <w:pStyle w:val="Normal"/>
        <w:widowControl w:val="false"/>
        <w:numPr>
          <w:ilvl w:val="0"/>
          <w:numId w:val="73"/>
        </w:numPr>
        <w:suppressAutoHyphens w:val="true"/>
        <w:spacing w:before="120" w:after="120"/>
        <w:jc w:val="both"/>
        <w:outlineLvl w:val="2"/>
        <w:rPr>
          <w:rFonts w:eastAsia="MS PGothic" w:cs="Arial"/>
          <w:kern w:val="2"/>
          <w14:ligatures w14:val="standardContextual"/>
        </w:rPr>
      </w:pPr>
      <w:r>
        <w:rPr>
          <w:rFonts w:eastAsia="MS PGothic" w:cs="Arial"/>
          <w:kern w:val="2"/>
          <w14:ligatures w14:val="standardContextual"/>
        </w:rPr>
        <w:t>Každoroční rozhodnutí o příspěvku vysoké školy bude „prováděcím aktem“ k uzavřené smlouvě, který v souladu se smlouvou stanoví příspěvek na příslušný kalendářní rok. Před rozhodnutím se ověřuje, že jsou splněny podmínky smlouvy a naopak, že nejsou naplněny podmínky pro specifickou úpravu výše rozpočtu.</w:t>
      </w:r>
    </w:p>
    <w:p>
      <w:pPr>
        <w:pStyle w:val="Normal"/>
        <w:widowControl w:val="false"/>
        <w:numPr>
          <w:ilvl w:val="0"/>
          <w:numId w:val="73"/>
        </w:numPr>
        <w:suppressAutoHyphens w:val="true"/>
        <w:spacing w:before="120" w:after="120"/>
        <w:jc w:val="both"/>
        <w:outlineLvl w:val="2"/>
        <w:rPr>
          <w:rFonts w:eastAsia="MS PGothic" w:cs="Arial"/>
          <w:color w:themeColor="text1" w:val="000000"/>
          <w:kern w:val="2"/>
          <w14:ligatures w14:val="standardContextual"/>
        </w:rPr>
      </w:pPr>
      <w:r>
        <w:rPr>
          <w:rFonts w:eastAsia="MS PGothic" w:cs="Arial"/>
          <w:kern w:val="2"/>
          <w14:ligatures w14:val="standardContextual"/>
        </w:rPr>
        <w:t xml:space="preserve">Zákon dále v obecné rovině stanoví pravidla a podmínky čerpání, transparentního nakládání s prostředky a změnu smlouvy (porušení pravidel, neplnění indikátorů, změna prostředků v příslušném ukazateli); další náležitosti (periodicita zpráv, způsob hodnocení a zveřejňování výsledků) upraví smlouva. </w:t>
      </w:r>
      <w:r>
        <w:rPr>
          <w:rFonts w:eastAsia="MS PGothic" w:cs="Arial"/>
          <w:color w:themeColor="text1" w:val="000000"/>
          <w:kern w:val="2"/>
          <w14:ligatures w14:val="standardContextual"/>
        </w:rPr>
        <w:t>Zákon stanoví i možnost v případě nesplnění indikátorů a nesplnění nápravných opatření, aby ministerstvo rozhodlo o snížení alokace pro danou vysokou školu pro budoucí smluvní období.</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4.2.2 Fondy vysokých škol</w:t>
      </w:r>
    </w:p>
    <w:p>
      <w:pPr>
        <w:pStyle w:val="Normal"/>
        <w:keepNext w:val="true"/>
        <w:keepLines/>
        <w:numPr>
          <w:ilvl w:val="0"/>
          <w:numId w:val="0"/>
        </w:numPr>
        <w:suppressAutoHyphens w:val="true"/>
        <w:spacing w:lineRule="auto" w:line="278" w:before="0" w:after="160"/>
        <w:outlineLvl w:val="4"/>
        <w:rPr>
          <w:rFonts w:eastAsia="MS PGothic" w:cs="Arial"/>
          <w:color w:val="0D0D0D"/>
          <w:kern w:val="2"/>
          <w14:ligatures w14:val="standardContextual"/>
        </w:rPr>
      </w:pPr>
      <w:r>
        <w:rPr>
          <w:rFonts w:eastAsia="MS PGothic" w:cs="Arial"/>
          <w:color w:val="0D0D0D"/>
          <w:kern w:val="2"/>
          <w14:ligatures w14:val="standardContextual"/>
        </w:rPr>
        <w:t>Východiska navrhované změny</w:t>
      </w:r>
    </w:p>
    <w:p>
      <w:pPr>
        <w:pStyle w:val="Normal"/>
        <w:widowControl w:val="false"/>
        <w:spacing w:lineRule="auto" w:line="278" w:before="0" w:after="160"/>
        <w:ind w:hanging="708" w:start="708"/>
        <w:contextualSpacing/>
        <w:jc w:val="both"/>
        <w:rPr>
          <w:rFonts w:cs="Arial"/>
          <w:kern w:val="2"/>
          <w14:ligatures w14:val="standardContextual"/>
        </w:rPr>
      </w:pPr>
      <w:r>
        <w:rPr>
          <w:rFonts w:cs="Arial"/>
          <w:kern w:val="2"/>
          <w14:ligatures w14:val="standardContextual"/>
        </w:rPr>
        <w:t>1.</w:t>
        <w:tab/>
        <w:t>Posílit finanční autonomii veřejných vysokých škol a sladit ji se záměrem posílit strategické řízení vysoké školy.</w:t>
      </w:r>
    </w:p>
    <w:p>
      <w:pPr>
        <w:pStyle w:val="Normal"/>
        <w:widowControl w:val="false"/>
        <w:spacing w:lineRule="auto" w:line="278" w:before="0" w:after="160"/>
        <w:contextualSpacing/>
        <w:jc w:val="both"/>
        <w:rPr>
          <w:rFonts w:cs="Arial"/>
          <w:kern w:val="2"/>
          <w14:ligatures w14:val="standardContextual"/>
        </w:rPr>
      </w:pPr>
      <w:r>
        <w:rPr>
          <w:rFonts w:cs="Arial"/>
          <w:kern w:val="2"/>
          <w14:ligatures w14:val="standardContextual"/>
        </w:rPr>
        <w:t>2.</w:t>
        <w:tab/>
        <w:t>Snížit administrativní a účetní rigiditu při tvorbě a používání fondů.</w:t>
      </w:r>
    </w:p>
    <w:p>
      <w:pPr>
        <w:pStyle w:val="Normal"/>
        <w:widowControl w:val="false"/>
        <w:spacing w:lineRule="auto" w:line="278" w:before="0" w:after="160"/>
        <w:ind w:hanging="708" w:start="708"/>
        <w:contextualSpacing/>
        <w:jc w:val="both"/>
        <w:rPr>
          <w:rFonts w:cs="Arial"/>
          <w:kern w:val="2"/>
          <w14:ligatures w14:val="standardContextual"/>
        </w:rPr>
      </w:pPr>
      <w:r>
        <w:rPr>
          <w:rFonts w:cs="Arial"/>
          <w:kern w:val="2"/>
          <w14:ligatures w14:val="standardContextual"/>
        </w:rPr>
        <w:t>3.</w:t>
        <w:tab/>
        <w:t>Zachovat transparentnost, srovnatelnost mezi vysokými školami.</w:t>
      </w:r>
    </w:p>
    <w:p>
      <w:pPr>
        <w:pStyle w:val="Normal"/>
        <w:widowControl w:val="false"/>
        <w:spacing w:lineRule="auto" w:line="278" w:before="0" w:after="160"/>
        <w:contextualSpacing/>
        <w:jc w:val="both"/>
        <w:rPr>
          <w:rFonts w:cs="Arial"/>
          <w:kern w:val="2"/>
          <w14:ligatures w14:val="standardContextual"/>
        </w:rPr>
      </w:pPr>
      <w:r>
        <w:rPr>
          <w:rFonts w:cs="Arial"/>
          <w:kern w:val="2"/>
          <w14:ligatures w14:val="standardContextual"/>
        </w:rPr>
        <w:t>4.</w:t>
        <w:tab/>
        <w:t>Nenarušit provázanost fondů s rozpočtovými a daňovými pravidly státu.</w:t>
      </w:r>
    </w:p>
    <w:p>
      <w:pPr>
        <w:pStyle w:val="Normal"/>
        <w:widowControl w:val="false"/>
        <w:spacing w:lineRule="auto" w:line="278" w:before="0" w:after="160"/>
        <w:contextualSpacing/>
        <w:jc w:val="both"/>
        <w:rPr>
          <w:rFonts w:cs="Arial"/>
          <w:kern w:val="2"/>
          <w14:ligatures w14:val="standardContextual"/>
        </w:rPr>
      </w:pPr>
      <w:r>
        <w:rPr>
          <w:rFonts w:cs="Arial"/>
          <w:kern w:val="2"/>
          <w14:ligatures w14:val="standardContextual"/>
        </w:rPr>
      </w:r>
    </w:p>
    <w:p>
      <w:pPr>
        <w:pStyle w:val="Normal"/>
        <w:widowControl w:val="false"/>
        <w:spacing w:lineRule="auto" w:line="278" w:before="0" w:after="160"/>
        <w:contextualSpacing/>
        <w:jc w:val="both"/>
        <w:rPr>
          <w:rFonts w:cs="Arial"/>
          <w:kern w:val="2"/>
          <w14:ligatures w14:val="standardContextual"/>
        </w:rPr>
      </w:pPr>
      <w:r>
        <w:rPr>
          <w:rFonts w:cs="Arial"/>
          <w:kern w:val="2"/>
          <w14:ligatures w14:val="standardContextual"/>
        </w:rPr>
        <w:t xml:space="preserve">V zákoně budou ukotveny </w:t>
      </w:r>
      <w:r>
        <w:rPr>
          <w:rFonts w:cs="Arial"/>
          <w:bCs/>
          <w:kern w:val="2"/>
          <w14:ligatures w14:val="standardContextual"/>
        </w:rPr>
        <w:t>povinně a fakultativně zřizované fondy v účetním smyslu.</w:t>
      </w:r>
      <w:r>
        <w:rPr>
          <w:rFonts w:cs="Arial"/>
          <w:kern w:val="2"/>
          <w14:ligatures w14:val="standardContextual"/>
        </w:rPr>
        <w:t xml:space="preserve"> </w:t>
      </w:r>
    </w:p>
    <w:p>
      <w:pPr>
        <w:pStyle w:val="Normal"/>
        <w:widowControl w:val="false"/>
        <w:spacing w:lineRule="auto" w:line="278" w:before="0" w:after="160"/>
        <w:jc w:val="both"/>
        <w:rPr>
          <w:rFonts w:cs="Arial"/>
          <w:b/>
          <w:kern w:val="2"/>
          <w14:ligatures w14:val="standardContextual"/>
        </w:rPr>
      </w:pPr>
      <w:r>
        <w:rPr>
          <w:rFonts w:cs="Arial"/>
          <w:b/>
          <w:kern w:val="2"/>
          <w14:ligatures w14:val="standardContextual"/>
        </w:rPr>
      </w:r>
    </w:p>
    <w:p>
      <w:pPr>
        <w:pStyle w:val="Normal"/>
        <w:widowControl w:val="false"/>
        <w:spacing w:lineRule="auto" w:line="278" w:before="0" w:after="160"/>
        <w:jc w:val="both"/>
        <w:rPr>
          <w:rFonts w:cs="Arial"/>
          <w:b/>
          <w:kern w:val="2"/>
          <w14:ligatures w14:val="standardContextual"/>
        </w:rPr>
      </w:pPr>
      <w:r>
        <w:rPr>
          <w:rFonts w:cs="Arial"/>
          <w:bCs/>
          <w:kern w:val="2"/>
          <w14:ligatures w14:val="standardContextual"/>
        </w:rPr>
        <w:t>Povinně zřizovaný fond</w:t>
      </w:r>
      <w:r>
        <w:rPr>
          <w:rFonts w:cs="Arial"/>
          <w:b/>
          <w:kern w:val="2"/>
          <w14:ligatures w14:val="standardContextual"/>
        </w:rPr>
        <w:t>:</w:t>
      </w:r>
    </w:p>
    <w:p>
      <w:pPr>
        <w:pStyle w:val="Normal"/>
        <w:widowControl w:val="false"/>
        <w:numPr>
          <w:ilvl w:val="0"/>
          <w:numId w:val="75"/>
        </w:numPr>
        <w:spacing w:lineRule="auto" w:line="278" w:before="0" w:after="160"/>
        <w:contextualSpacing/>
        <w:jc w:val="both"/>
        <w:rPr>
          <w:rFonts w:cs="Arial"/>
          <w:kern w:val="2"/>
          <w14:ligatures w14:val="standardContextual"/>
        </w:rPr>
      </w:pPr>
      <w:r>
        <w:rPr>
          <w:rFonts w:cs="Arial"/>
          <w:kern w:val="2"/>
          <w14:ligatures w14:val="standardContextual"/>
        </w:rPr>
        <w:t xml:space="preserve">fond rozvoje tvořený ze zůstatku příspěvku, ze zisku po zdanění, z darů, z odpisů hmotného a nehmotného majetku. Z fondu by bylo možno financovat kromě provozních výdajů, reprodukce/rozvoje majetku i vklady do spin-offů/start-upů, splácet půjčky, investovat do fondů atd. </w:t>
      </w:r>
    </w:p>
    <w:p>
      <w:pPr>
        <w:pStyle w:val="Normal"/>
        <w:widowControl w:val="false"/>
        <w:spacing w:lineRule="auto" w:line="278" w:before="0" w:after="160"/>
        <w:jc w:val="both"/>
        <w:rPr>
          <w:rFonts w:cs="Arial"/>
          <w:bCs/>
          <w:kern w:val="2"/>
          <w14:ligatures w14:val="standardContextual"/>
        </w:rPr>
      </w:pPr>
      <w:r>
        <w:rPr>
          <w:rFonts w:cs="Arial"/>
          <w:bCs/>
          <w:kern w:val="2"/>
          <w14:ligatures w14:val="standardContextual"/>
        </w:rPr>
      </w:r>
    </w:p>
    <w:p>
      <w:pPr>
        <w:pStyle w:val="Normal"/>
        <w:widowControl w:val="false"/>
        <w:spacing w:lineRule="auto" w:line="278" w:before="0" w:after="160"/>
        <w:jc w:val="both"/>
        <w:rPr>
          <w:rFonts w:cs="Arial"/>
          <w:bCs/>
          <w:kern w:val="2"/>
          <w14:ligatures w14:val="standardContextual"/>
        </w:rPr>
      </w:pPr>
      <w:r>
        <w:rPr>
          <w:rFonts w:cs="Arial"/>
          <w:bCs/>
          <w:kern w:val="2"/>
          <w14:ligatures w14:val="standardContextual"/>
        </w:rPr>
        <w:t>Fakultativně zřizované fondy:</w:t>
      </w:r>
    </w:p>
    <w:p>
      <w:pPr>
        <w:pStyle w:val="Normal"/>
        <w:widowControl w:val="false"/>
        <w:numPr>
          <w:ilvl w:val="0"/>
          <w:numId w:val="76"/>
        </w:numPr>
        <w:spacing w:lineRule="auto" w:line="278" w:before="0" w:after="160"/>
        <w:contextualSpacing/>
        <w:jc w:val="both"/>
        <w:rPr>
          <w:rFonts w:cs="Arial"/>
          <w:bCs/>
          <w:kern w:val="2"/>
          <w14:ligatures w14:val="standardContextual"/>
        </w:rPr>
      </w:pPr>
      <w:r>
        <w:rPr>
          <w:rFonts w:cs="Arial"/>
          <w:bCs/>
          <w:kern w:val="2"/>
          <w14:ligatures w14:val="standardContextual"/>
        </w:rPr>
        <w:t>sociální fond,</w:t>
      </w:r>
    </w:p>
    <w:p>
      <w:pPr>
        <w:pStyle w:val="Normal"/>
        <w:widowControl w:val="false"/>
        <w:numPr>
          <w:ilvl w:val="0"/>
          <w:numId w:val="76"/>
        </w:numPr>
        <w:spacing w:lineRule="auto" w:line="278" w:before="0" w:after="160"/>
        <w:contextualSpacing/>
        <w:jc w:val="both"/>
        <w:rPr>
          <w:rFonts w:cs="Arial"/>
          <w:bCs/>
          <w:kern w:val="2"/>
          <w14:ligatures w14:val="standardContextual"/>
        </w:rPr>
      </w:pPr>
      <w:r>
        <w:rPr>
          <w:rFonts w:cs="Arial"/>
          <w:bCs/>
          <w:kern w:val="2"/>
          <w14:ligatures w14:val="standardContextual"/>
        </w:rPr>
        <w:t xml:space="preserve">stipendijní fond </w:t>
      </w:r>
      <w:r>
        <w:rPr>
          <w:rFonts w:cs="Arial"/>
          <w:kern w:val="2"/>
          <w14:ligatures w14:val="standardContextual"/>
        </w:rPr>
        <w:t>tvořený z poplatků za delší studium, v případě, že vysoká škola stipendijní fond nezřídí, zákon určí účelovou vázanost těchto prostředků na podporu studentů v širším smyslu – stipendia a další podpůrné služby pro studenty (poradenství, stravování apod.),</w:t>
      </w:r>
    </w:p>
    <w:p>
      <w:pPr>
        <w:pStyle w:val="Normal"/>
        <w:widowControl w:val="false"/>
        <w:numPr>
          <w:ilvl w:val="0"/>
          <w:numId w:val="76"/>
        </w:numPr>
        <w:spacing w:lineRule="auto" w:line="278" w:before="0" w:after="160"/>
        <w:contextualSpacing/>
        <w:jc w:val="both"/>
        <w:rPr>
          <w:rFonts w:cs="Arial"/>
          <w:bCs/>
          <w:kern w:val="2"/>
          <w14:ligatures w14:val="standardContextual"/>
        </w:rPr>
      </w:pPr>
      <w:r>
        <w:rPr>
          <w:rFonts w:cs="Arial"/>
          <w:kern w:val="2"/>
          <w14:ligatures w14:val="standardContextual"/>
        </w:rPr>
        <w:t>případně další fondy stanovené vnitřním předpisem vysoké školy.</w:t>
      </w:r>
    </w:p>
    <w:p>
      <w:pPr>
        <w:pStyle w:val="Normal"/>
        <w:widowControl w:val="false"/>
        <w:spacing w:lineRule="auto" w:line="278" w:before="0" w:after="160"/>
        <w:jc w:val="both"/>
        <w:rPr>
          <w:rFonts w:cs="Arial"/>
          <w:kern w:val="2"/>
          <w14:ligatures w14:val="standardContextual"/>
        </w:rPr>
      </w:pPr>
      <w:r>
        <w:rPr>
          <w:rFonts w:cs="Arial"/>
          <w:kern w:val="2"/>
          <w14:ligatures w14:val="standardContextual"/>
        </w:rPr>
      </w:r>
    </w:p>
    <w:p>
      <w:pPr>
        <w:pStyle w:val="Normal"/>
        <w:widowControl w:val="false"/>
        <w:spacing w:lineRule="auto" w:line="278" w:before="0" w:after="160"/>
        <w:jc w:val="both"/>
        <w:rPr>
          <w:rFonts w:cs="Arial"/>
          <w:kern w:val="2"/>
          <w14:ligatures w14:val="standardContextual"/>
        </w:rPr>
      </w:pPr>
      <w:r>
        <w:rPr>
          <w:rFonts w:cs="Arial"/>
          <w:kern w:val="2"/>
          <w14:ligatures w14:val="standardContextual"/>
        </w:rPr>
        <w:t xml:space="preserve">Pravidla převodu mezi fondy a jejich čerpání stanoví v souladu se zákonem vnitřní předpis vysoké školy a o použití fondu rozhoduje rektor po projednání s univerzitní radou, případně děkan v delegované kompetenci (viz reforma řízení).  </w:t>
      </w:r>
    </w:p>
    <w:p>
      <w:pPr>
        <w:pStyle w:val="Normal"/>
        <w:keepNext w:val="true"/>
        <w:keepLines/>
        <w:numPr>
          <w:ilvl w:val="0"/>
          <w:numId w:val="0"/>
        </w:numPr>
        <w:suppressAutoHyphens w:val="true"/>
        <w:spacing w:lineRule="auto" w:line="278" w:before="0" w:after="160"/>
        <w:outlineLvl w:val="4"/>
        <w:rPr>
          <w:rFonts w:eastAsia="MS PGothic" w:cs="Arial"/>
          <w:b/>
          <w:bCs/>
          <w:kern w:val="2"/>
          <w14:ligatures w14:val="standardContextual"/>
        </w:rPr>
      </w:pPr>
      <w:r>
        <w:rPr>
          <w:rFonts w:eastAsia="MS PGothic" w:cs="Arial"/>
          <w:b/>
          <w:bCs/>
          <w:kern w:val="2"/>
          <w14:ligatures w14:val="standardContextual"/>
        </w:rPr>
        <w:t>4.2.3 Využívání finančních nástrojů</w:t>
      </w:r>
    </w:p>
    <w:p>
      <w:pPr>
        <w:pStyle w:val="Normal"/>
        <w:widowControl w:val="false"/>
        <w:spacing w:lineRule="auto" w:line="278" w:before="0" w:after="160"/>
        <w:jc w:val="both"/>
        <w:rPr>
          <w:rFonts w:cs="Arial"/>
          <w:kern w:val="2"/>
          <w14:ligatures w14:val="standardContextual"/>
        </w:rPr>
      </w:pPr>
      <w:r>
        <w:rPr>
          <w:rFonts w:cs="Arial"/>
          <w:kern w:val="2"/>
          <w14:ligatures w14:val="standardContextual"/>
        </w:rPr>
        <w:t>Cílem je nastavení legislativního prostředí, které vysokým školám umožní odpovědně a transparentně využívat část vlastních či akumulovaných prostředků k dlouhodobému zhodnocování a financování strategických priorit, jako např. zajištění a splácení vlastních úvěrů a zápůjček či majetkovou účast v právnických osobách.</w:t>
      </w:r>
    </w:p>
    <w:p>
      <w:pPr>
        <w:pStyle w:val="Normal"/>
        <w:widowControl w:val="false"/>
        <w:spacing w:lineRule="auto" w:line="278" w:before="0" w:after="160"/>
        <w:jc w:val="both"/>
        <w:rPr>
          <w:rFonts w:cs="Arial"/>
          <w:kern w:val="2"/>
          <w14:ligatures w14:val="standardContextual"/>
        </w:rPr>
      </w:pPr>
      <w:r>
        <w:rPr>
          <w:rFonts w:cs="Arial"/>
          <w:kern w:val="2"/>
          <w14:ligatures w14:val="standardContextual"/>
        </w:rPr>
        <w:t xml:space="preserve">Zákon nastaví pravidla pro vysoké školy, za kterých si mohou vzít komerční půjčku/úvěr, tento záměr musí být schválen univerzitní radou. Vysoká škola může k zajištění a splácení vlastních úvěrů a zápůjček a jejich úroků využít finanční prostředky poskytnuté ze státního rozpočtu formou kontraktu, případně výnosy z hospodářské činnosti. Úvěr či zápůjčku si vysoká škola může sjednat pouze na rozvojové účely v souladu se svým strategickým záměrem, nemůže z nich být hrazen provoz vysoké školy. </w:t>
      </w:r>
    </w:p>
    <w:p>
      <w:pPr>
        <w:pStyle w:val="Normal"/>
        <w:widowControl w:val="false"/>
        <w:spacing w:lineRule="auto" w:line="278" w:before="0" w:after="160"/>
        <w:jc w:val="both"/>
        <w:rPr>
          <w:rFonts w:cs="Arial"/>
          <w:kern w:val="2"/>
          <w14:ligatures w14:val="standardContextual"/>
        </w:rPr>
      </w:pPr>
      <w:r>
        <w:rPr>
          <w:rFonts w:cs="Arial"/>
          <w:kern w:val="2"/>
          <w14:ligatures w14:val="standardContextual"/>
        </w:rPr>
        <w:t xml:space="preserve">Vysoká škola dále může aktivně zhodnocovat akumulované finanční prostředky, které má ve svých fondech, a vstupovat s majetkovou účastí do jiných právnických osob. Veřejná vysoká škola může nabývat majetkovou účast v právnických osobách se sídlem v České republice nebo v jiném členském státě Evropské unie nebo Evropského hospodářského prostoru, pokud je tato účast v souladu s misí, strategickými cíli a zásadami hospodárného nakládání s veřejnými prostředky. Nabytí majetkové účasti schvaluje univerzitní rada na základě transparentního posouzení právních, ekonomických a reputačních rizik a přínosů pro plnění veřejné mise vysoké školy. Investice nesmějí být nikdy spojeny se ztrátou vyšší, než je počáteční investovaný kapitál. Schvalování takové investice musí obnášet podmínky využití výnosů i úhradu potenciálních ztrát. Vysoká škola evidenci majetkových účastí transparentním způsobem zveřejňuje. </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 xml:space="preserve">4.2.4 Přechod na nový systém </w:t>
      </w:r>
    </w:p>
    <w:p>
      <w:pPr>
        <w:pStyle w:val="Normal"/>
        <w:spacing w:before="0" w:after="160"/>
        <w:jc w:val="both"/>
        <w:rPr>
          <w:rFonts w:cs="Arial"/>
          <w:kern w:val="2"/>
          <w14:ligatures w14:val="standardContextual"/>
        </w:rPr>
      </w:pPr>
      <w:r>
        <w:rPr>
          <w:rFonts w:cs="Arial"/>
          <w:kern w:val="2"/>
          <w14:ligatures w14:val="standardContextual"/>
        </w:rPr>
        <w:t>Zákon stanoví, od kterého roku se bude financovat formou kontraktu, ostatní relevantní ustanovení se uplatní od 1. 1. následujícího roku po nabytí účinnosti zákona. Zákon dále stanoví způsob převodu fondů zřízených podle dosavadní legislativy na fondy podle nové právní úpravy.</w:t>
      </w:r>
    </w:p>
    <w:p>
      <w:pPr>
        <w:pStyle w:val="Normal"/>
        <w:spacing w:before="0" w:after="160"/>
        <w:jc w:val="both"/>
        <w:rPr>
          <w:rFonts w:cs="Arial"/>
          <w:kern w:val="2"/>
          <w14:ligatures w14:val="standardContextual"/>
        </w:rPr>
      </w:pPr>
      <w:r>
        <w:rPr>
          <w:rFonts w:cs="Arial"/>
          <w:kern w:val="2"/>
          <w14:ligatures w14:val="standardContextual"/>
        </w:rPr>
      </w:r>
    </w:p>
    <w:p>
      <w:pPr>
        <w:pStyle w:val="Normal"/>
        <w:shd w:val="clear" w:color="auto" w:fill="8DB3E2" w:themeFill="text2" w:themeFillTint="66"/>
        <w:rPr>
          <w:b/>
          <w:bCs/>
        </w:rPr>
      </w:pPr>
      <w:r>
        <w:rPr>
          <w:b/>
          <w:bCs/>
        </w:rPr>
        <w:t>4.3 Oblast akademických kariér</w:t>
      </w:r>
    </w:p>
    <w:p>
      <w:pPr>
        <w:pStyle w:val="Normal"/>
        <w:rPr>
          <w:b/>
          <w:bCs/>
        </w:rPr>
      </w:pPr>
      <w:r>
        <w:rPr>
          <w:b/>
          <w:bCs/>
        </w:rPr>
      </w:r>
    </w:p>
    <w:p>
      <w:pPr>
        <w:pStyle w:val="Normal"/>
        <w:rPr>
          <w:b/>
          <w:bCs/>
        </w:rPr>
      </w:pPr>
      <w:r>
        <w:rPr>
          <w:b/>
          <w:bCs/>
        </w:rPr>
        <w:t>4.3.1 Individuální profilace akademických pracovníků</w:t>
      </w:r>
    </w:p>
    <w:p>
      <w:pPr>
        <w:pStyle w:val="Normal"/>
        <w:spacing w:before="0" w:after="160"/>
        <w:jc w:val="both"/>
        <w:rPr>
          <w:rFonts w:cs="Arial"/>
          <w:kern w:val="2"/>
          <w14:ligatures w14:val="standardContextual"/>
        </w:rPr>
      </w:pPr>
      <w:r>
        <w:rPr>
          <w:rFonts w:cs="Arial"/>
          <w:kern w:val="2"/>
          <w14:ligatures w14:val="standardContextual"/>
        </w:rPr>
      </w:r>
    </w:p>
    <w:p>
      <w:pPr>
        <w:pStyle w:val="Normal"/>
        <w:spacing w:before="0" w:after="160"/>
        <w:jc w:val="both"/>
        <w:rPr>
          <w:rFonts w:cs="Arial"/>
          <w:kern w:val="2"/>
          <w14:ligatures w14:val="standardContextual"/>
        </w:rPr>
      </w:pPr>
      <w:r>
        <w:rPr>
          <w:rFonts w:cs="Arial"/>
          <w:kern w:val="2"/>
          <w14:ligatures w14:val="standardContextual"/>
        </w:rPr>
        <w:t>Návrh vychází z individuálního vymezení</w:t>
      </w:r>
      <w:r>
        <w:rPr>
          <w:rFonts w:cs="Arial"/>
          <w:b/>
          <w:bCs/>
          <w:kern w:val="2"/>
          <w14:ligatures w14:val="standardContextual"/>
        </w:rPr>
        <w:t xml:space="preserve"> </w:t>
      </w:r>
      <w:r>
        <w:rPr>
          <w:rFonts w:cs="Arial"/>
          <w:kern w:val="2"/>
          <w14:ligatures w14:val="standardContextual"/>
        </w:rPr>
        <w:t>profilů akademických pracovníků podle následujících pravidel:</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Zákon nově vymezí pojem “akademičtí pracovníci”. Zákonem budou rovněž vymezeny základní oblasti činností akademických pracovníků a možnost jejich kombinací (obecně na národní úrovni, upřesní vnitřní předpisy VŠ), například:</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vzdělávací činnost – od realizace výuky, přes inovace až po zajišťování kvality a rozvoje předmětů a studijních programů, včetně například rozvoje pedagogických kompetencí akademických pracovníků,</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tvůrčí činnost – vědecká, výzkumná, vývojová, inovační, umělecká nebo jiná tvůrčí činnost – od sběru a analýzy dat, přes publikace a recenzní a hodnotící činnost, až po získávání grantů a vedení výzkumných skupin,</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podpora a vedení – od činnosti v akademické samosprávě a administrativní činnosti, přes účast v komisích a orgánech (jak na vlastní VŠ, tak na jiných vysokých školách a ve výzkumných organizacích) a koordinaci a řízení projektů až po vedoucí pracovní místa a funkce (vč. např. náplně práce vedoucích kateder, (pro)děkanů a prorektorů; u rektora se předpokládá zvláštní status se specifickou úpravou),</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činnosti naplňující třetí roli vysoké školy – od přenosu znalostí a technologií, přes popularizaci až po společenské působení,</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další oblast si případně může vysoká škola vymezit sama s přihlédnutím ke svým specifickým potřebám,</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profil každého akademického pracovníka bude upraven individuálně ze strany zaměstnavatele – vysoké školy v pracovní náplni, s přihlédnutím jak k jeho zájmům a silným stránkám, tak k potřebám pracoviště, přičemž profil specifikuje poměr mezi hlavními typy činností a může dále upřesnit jejich obsah,</w:t>
      </w:r>
    </w:p>
    <w:p>
      <w:pPr>
        <w:pStyle w:val="Normal"/>
        <w:keepLines/>
        <w:numPr>
          <w:ilvl w:val="1"/>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např. práce konkrétního zaměstnance bude ze 60 % zahrnovat výzkumnou činnost, z 20 % výuku a z 20 % třetí roli, a pracovní náplň dále upřesní úkoly v rámci těchto činností,</w:t>
      </w:r>
    </w:p>
    <w:p>
      <w:pPr>
        <w:pStyle w:val="Normal"/>
        <w:keepLines/>
        <w:numPr>
          <w:ilvl w:val="1"/>
          <w:numId w:val="68"/>
        </w:numPr>
        <w:pBdr/>
        <w:spacing w:lineRule="auto" w:line="259" w:before="0" w:after="160"/>
        <w:jc w:val="both"/>
        <w:rPr>
          <w:rFonts w:cs="Arial"/>
          <w:i/>
          <w:iCs/>
          <w:color w:val="000000"/>
          <w:kern w:val="2"/>
          <w14:ligatures w14:val="standardContextual"/>
        </w:rPr>
      </w:pPr>
      <w:r>
        <w:rPr>
          <w:rFonts w:cs="Arial"/>
          <w:color w:val="000000"/>
          <w:kern w:val="2"/>
          <w14:ligatures w14:val="standardContextual"/>
        </w:rPr>
        <w:t>profil je možné měnit,</w:t>
      </w:r>
    </w:p>
    <w:p>
      <w:pPr>
        <w:pStyle w:val="Normal"/>
        <w:keepLines/>
        <w:numPr>
          <w:ilvl w:val="0"/>
          <w:numId w:val="68"/>
        </w:numPr>
        <w:pBdr/>
        <w:spacing w:lineRule="auto" w:line="259" w:before="0" w:after="160"/>
        <w:jc w:val="both"/>
        <w:rPr>
          <w:rFonts w:cs="Arial"/>
          <w:kern w:val="2"/>
          <w14:ligatures w14:val="standardContextual"/>
        </w:rPr>
      </w:pPr>
      <w:r>
        <w:rPr>
          <w:rFonts w:cs="Arial"/>
          <w:kern w:val="2"/>
          <w14:ligatures w14:val="standardContextual"/>
        </w:rPr>
        <w:t>profil může i ze 100 % zahrnovat pouze jednu kategorii činností (kromě funkčních míst docentů a profesorů – viz níže) – předpokládá se tedy, že stávající skupiny pracovníků vykonávajících výlučně výzkumnou činnost a pracovníků vykonávajících výlučně výuku, kteří nyní nemají postavení akademických pracovníků, ztratí status samostatné kategorie “neakademických” pracovníků; tito pracovníci budou považováni za akademické pracovníky se specifickým profilem,</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profil pracovníka je silně zohledňován při jeho hodnocení a kariérním postupu,</w:t>
      </w:r>
    </w:p>
    <w:p>
      <w:pPr>
        <w:pStyle w:val="Normal"/>
        <w:keepLines/>
        <w:numPr>
          <w:ilvl w:val="1"/>
          <w:numId w:val="68"/>
        </w:numPr>
        <w:pBdr/>
        <w:spacing w:lineRule="auto" w:line="259" w:before="0" w:after="320"/>
        <w:jc w:val="both"/>
        <w:rPr>
          <w:rFonts w:cs="Arial"/>
          <w:kern w:val="2"/>
          <w14:ligatures w14:val="standardContextual"/>
        </w:rPr>
      </w:pPr>
      <w:r>
        <w:rPr>
          <w:rFonts w:cs="Arial"/>
          <w:color w:val="000000"/>
          <w:kern w:val="2"/>
          <w14:ligatures w14:val="standardContextual"/>
        </w:rPr>
        <w:t>kariérní růst tak není nutně svázán s výzkumnými výsledky nebo počtem vedených bakalářských, diplomových nebo disertačních prací, pokud to neodpovídá profilu pracovníka.</w:t>
      </w:r>
    </w:p>
    <w:p>
      <w:pPr>
        <w:pStyle w:val="ListParagraph"/>
        <w:numPr>
          <w:ilvl w:val="2"/>
          <w:numId w:val="84"/>
        </w:numPr>
        <w:rPr>
          <w:b/>
          <w:bCs/>
        </w:rPr>
      </w:pPr>
      <w:r>
        <w:rPr>
          <w:b/>
          <w:bCs/>
        </w:rPr>
        <w:t>Čtyři základní kariérní stupně</w:t>
      </w:r>
    </w:p>
    <w:p>
      <w:pPr>
        <w:pStyle w:val="Normal"/>
        <w:rPr>
          <w:b/>
          <w:bCs/>
        </w:rPr>
      </w:pPr>
      <w:r>
        <w:rPr>
          <w:b/>
          <w:bCs/>
        </w:rPr>
      </w:r>
    </w:p>
    <w:p>
      <w:pPr>
        <w:pStyle w:val="Normal"/>
        <w:keepLines/>
        <w:pBdr/>
        <w:spacing w:lineRule="auto" w:line="259" w:before="0" w:after="160"/>
        <w:jc w:val="both"/>
        <w:rPr>
          <w:rFonts w:cs="Arial"/>
          <w:kern w:val="2"/>
          <w14:ligatures w14:val="standardContextual"/>
        </w:rPr>
      </w:pPr>
      <w:r>
        <w:rPr>
          <w:rFonts w:cs="Arial"/>
          <w:color w:val="000000"/>
          <w:kern w:val="2"/>
          <w14:ligatures w14:val="standardContextual"/>
        </w:rPr>
        <w:t xml:space="preserve">Zákonem budou stanoveny čtyři základní kariérní stupně pracovních míst akademických pracovníků, které principiálně vycházejí z evropského rámce profilů výzkumných pracovníků R1–R4, rozšířeného nad rámec výzkumu o ostatní typy činností.  Akademičtí pracovníci budou zařazováni na pracovní místa do kariérních stupňů podle </w:t>
      </w:r>
      <w:r>
        <w:rPr>
          <w:rFonts w:cs="Arial"/>
          <w:kern w:val="2"/>
          <w14:ligatures w14:val="standardContextual"/>
        </w:rPr>
        <w:t>složitosti, odpovědnosti a namáhavosti vykonávané činnosti, vykonávané činnosti a plnění odborné kvalifikace a dalších kvalifikačních předpokladů.</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Do prvního kariérního stupně   budou zařazována pracovní místa akademických pracovníků, kteří budou v rámci své pracovní náplně vykonávat činnosti, které mohou realizovat osoby bez absolvování studia v doktorském studijním programu, tj. typicky půjde o pracovní místa obsazovaná  studenty doktorských studijních programů, dnešními asistenty, juniorními lektory nebo juniorními výzkumnými pracovníky (studenti doktorských studijních programů mohou, ale nemusí, být zaměstnanci vysoké školy; pokud jsou zaměstnáni jako akademičtí pracovníci, tak zpravidla na pracovním místě zařazeném do prvního kariérního stupně).</w:t>
      </w:r>
    </w:p>
    <w:p>
      <w:pPr>
        <w:pStyle w:val="Normal"/>
        <w:keepLines/>
        <w:numPr>
          <w:ilvl w:val="1"/>
          <w:numId w:val="68"/>
        </w:numPr>
        <w:pBdr/>
        <w:spacing w:lineRule="auto" w:line="259" w:before="0" w:after="160"/>
        <w:contextualSpacing/>
        <w:jc w:val="both"/>
        <w:rPr>
          <w:rFonts w:cs="Arial"/>
          <w:color w:val="000000"/>
          <w:kern w:val="2"/>
          <w14:ligatures w14:val="standardContextual"/>
        </w:rPr>
      </w:pPr>
      <w:r>
        <w:rPr>
          <w:rFonts w:cs="Arial"/>
          <w:color w:val="000000"/>
          <w:kern w:val="2"/>
          <w14:ligatures w14:val="standardContextual"/>
        </w:rPr>
        <w:t>Do druhého kariérního stupně budou zařazována pracovní místa akademických pracovníků, kteří budou v rámci své pracovní náplně vykonávat činnosti zpravidla vyžadující vzdělání získané absolvováním doktorského studijního programu nebo srovnatelnou míru zkušenosti (zejména v případě odborníků z praxe), ale stále předpokládající určitou míru odborného vedení; v rámci druhého kariérního stupně bude zákon rozlišovat tři typy pracovních míst:</w:t>
      </w:r>
    </w:p>
    <w:p>
      <w:pPr>
        <w:pStyle w:val="Normal"/>
        <w:keepLines/>
        <w:numPr>
          <w:ilvl w:val="2"/>
          <w:numId w:val="68"/>
        </w:numPr>
        <w:pBdr/>
        <w:spacing w:lineRule="auto" w:line="259" w:before="0" w:after="160"/>
        <w:jc w:val="both"/>
        <w:rPr>
          <w:rFonts w:cs="Arial"/>
          <w:kern w:val="2"/>
          <w14:ligatures w14:val="standardContextual"/>
        </w:rPr>
      </w:pPr>
      <w:r>
        <w:rPr>
          <w:rFonts w:cs="Arial"/>
          <w:kern w:val="2"/>
          <w14:ligatures w14:val="standardContextual"/>
        </w:rPr>
        <w:t>postdoktorandská pracovní místa – pracovní místa obsazovaná na dobu určitou s nejnižší mírou stability a důrazem na rozvoj pracovníků,</w:t>
      </w:r>
    </w:p>
    <w:p>
      <w:pPr>
        <w:pStyle w:val="Normal"/>
        <w:keepLines/>
        <w:numPr>
          <w:ilvl w:val="2"/>
          <w:numId w:val="68"/>
        </w:numPr>
        <w:pBdr/>
        <w:spacing w:lineRule="auto" w:line="259" w:before="0" w:after="160"/>
        <w:jc w:val="both"/>
        <w:rPr>
          <w:rFonts w:cs="Arial"/>
          <w:kern w:val="2"/>
          <w14:ligatures w14:val="standardContextual"/>
        </w:rPr>
      </w:pPr>
      <w:r>
        <w:rPr>
          <w:rFonts w:cs="Arial"/>
          <w:kern w:val="2"/>
          <w14:ligatures w14:val="standardContextual"/>
        </w:rPr>
        <w:t xml:space="preserve">pracovní místa s garantovaným kariérním postupem (tzv. režim “tenure track”) – s časově vymezenou kariérní dráhou v pracovním poměru na dobu neurčitou směřující k obsazení pracovního místa třetího kariérního stupně, </w:t>
      </w:r>
    </w:p>
    <w:p>
      <w:pPr>
        <w:pStyle w:val="Normal"/>
        <w:keepLines/>
        <w:numPr>
          <w:ilvl w:val="2"/>
          <w:numId w:val="68"/>
        </w:numPr>
        <w:pBdr/>
        <w:spacing w:lineRule="auto" w:line="259" w:before="0" w:after="160"/>
        <w:jc w:val="both"/>
        <w:rPr>
          <w:rFonts w:cs="Arial"/>
          <w:kern w:val="2"/>
          <w14:ligatures w14:val="standardContextual"/>
        </w:rPr>
      </w:pPr>
      <w:r>
        <w:rPr>
          <w:rFonts w:cs="Arial"/>
          <w:kern w:val="2"/>
          <w14:ligatures w14:val="standardContextual"/>
        </w:rPr>
        <w:t>ostatní pracovní místa druhého kariérního stupně – pracovní místa bez bližší specifikace, využitelná např. pro umístění pracovníků účastnících se řešení projektů, externích spolupracovníků nebo lektorů a výzkumných pracovníků nezařazených na pracovní místo s garantovaným kariérním postupem.</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Do třetího kariérního stupně budou zařazována pracovní místa akademických pracovníků, kteří budou v rámci své pracovní náplně vykonávat činnosti s vysokou mírou samostatnosti a odpovědnosti jak za sebe, tak za instituci a tým, včetně samostatného vedení grantových a jiných projektů a zajišťování kvality a rozvoje studijních programů; půjde tedy o pracovní místa  která zhruba odpovídají dosavadním pracovním místům docentů, vedoucích výzkumných skupin, garantů studijních programů, vedoucích kateder apod.</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Do čtvrtého kariérního stupně budou zařazována pracovní místa určená pro špičkové odborníky obecně uznávané jako vůdčí osobnosti ve svém oboru s mezinárodním významem a s vysokou mírou odpovědnosti za rozvoj instituce a disciplíny, tj. pro osoby rámcově odpovídající ideálu dnešních profesorů.</w:t>
      </w:r>
    </w:p>
    <w:p>
      <w:pPr>
        <w:pStyle w:val="Normal"/>
        <w:keepLines/>
        <w:numPr>
          <w:ilvl w:val="0"/>
          <w:numId w:val="68"/>
        </w:numPr>
        <w:pBdr/>
        <w:spacing w:lineRule="auto" w:line="259" w:before="0" w:after="160"/>
        <w:jc w:val="both"/>
        <w:rPr>
          <w:rFonts w:eastAsia="MS PGothic" w:cs="Arial"/>
          <w:kern w:val="2"/>
          <w14:ligatures w14:val="standardContextual"/>
        </w:rPr>
      </w:pPr>
      <w:r>
        <w:rPr>
          <w:rFonts w:cs="Arial"/>
          <w:kern w:val="2"/>
          <w14:ligatures w14:val="standardContextual"/>
        </w:rPr>
        <w:t>Zákon dále stanoví, že vysoké školy mohou vytvářet funkční místa docentů v rámci třetího kariérního stupně pracovních míst a funkční místa profesorů v rámci čtvrtého kariérního stupně pracovních míst</w:t>
      </w:r>
      <w:r>
        <w:rPr>
          <w:rFonts w:eastAsia="MS PGothic" w:cs="Arial"/>
          <w:kern w:val="2"/>
          <w14:ligatures w14:val="standardContextual"/>
        </w:rPr>
        <w:t xml:space="preserve">. </w:t>
      </w:r>
    </w:p>
    <w:p>
      <w:pPr>
        <w:pStyle w:val="Normal"/>
        <w:keepLines/>
        <w:pBdr/>
        <w:spacing w:lineRule="auto" w:line="259"/>
        <w:jc w:val="both"/>
        <w:rPr>
          <w:rFonts w:cs="Arial"/>
          <w:kern w:val="2"/>
          <w14:ligatures w14:val="standardContextual"/>
        </w:rPr>
      </w:pPr>
      <w:r>
        <w:rPr>
          <w:rFonts w:cs="Arial"/>
          <w:kern w:val="2"/>
          <w14:ligatures w14:val="standardContextual"/>
        </w:rPr>
        <w:t>Dále bude stanoveno, že:</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u docentů a profesorů platí, že významnou součástí jejich profilu je vždy jak složka vzdělávací, tak tvůrčí, a také složka podpory a vedení – očekává se, že docenti a profesoři nejsou jen seniorními lektory nebo výzkumníky, ale že vzdělávací a tvůrčí činnost propojují a zároveň se podílejí i na vedení vysoké školy a službě akademické obci a společnosti, tj. např. zastávají vedoucí funkce, zapojují se do činnosti orgánů vysoké školy nebo se věnují mentoringu juniornějších kolegů,</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při obsazování funkčních míst docentů a profesorů je klíčovým kritériem kvalita vzdělávací i tvůrčí činnosti uchazečů,</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výkon vzdělávací a tvůrčí činnosti docentů a profesorů může být dočasně omezen nebo pozastaven v případě, že zastávají významné vedoucí funkce, které jim ve výkonu těchto činností brání (např. funkci děkana),</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funkční místa docentů a profesorů jsou zpravidla spojena s pracovním poměrem na dobu neurčitou, s jasnými pravidly pro jeho skončení ve vazbě na pravidelné hodnocení a případně další kritéria,</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vysoké školy si svými vnitřními předpisy stanoví další požadavky na uchazeče o funkční místa docentů a profesorů a požadavky na výkon činnosti na těchto místech,</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pro všechny kariérní stupně pracovních míst platí, že označují kvalifikační náročnost pracovního místa a nepředstavují doživotně přiznávaný osobní status – pokud tedy pracovník přestane zastávat funkční místo docenta nebo profesora, může být napříště zařazen na jiné pracovní místo v jiném kariérním stupni, s ohledem na hodnocení skutečných výsledků jeho pracovní činnosti podle aktuálních kritérií; – totéž platí obdobně pro ostatní kariérní stupně a typy pracovních míst,</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vysoké školy svými vnitřními předpisy zavedou podrobnější členění pracovních míst zařazených do jednotlivých kariérních stupňů,</w:t>
      </w:r>
    </w:p>
    <w:p>
      <w:pPr>
        <w:pStyle w:val="Normal"/>
        <w:keepLines/>
        <w:numPr>
          <w:ilvl w:val="0"/>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ministerstvo vyhláškou pro každou oblast činností akademického pracovníka a každý kariérní stupeň stanoví minimální rámcové požadavky, které vysoké školy dále upřesní ve svých vnitřních předpisech.</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na jednu stranu se tedy nepředpokládá plná srovnatelnost pracovních míst napříč kariérním systémem akademických pracovníků; akademičtí pracovníci zařazení na pracovní místa téhož kariérního stupně na různých vysokých školách nemusí splňovat zcela shodná kritéria – vysoké školy budou moci přizpůsobit kvalifikační požadavky svému profilu a poslání, a také oborovým specifikům,</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na druhou stranu rámcové požadavky neumožní úplné rozvolnění pojmů a specificky v případě čtvrtého kariérního stupně je možné, že některé vysoké školy nebudou mít v tomto kariérním stupni žádná pracovní místa zřízena nebo jich bude jen velmi málo,</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vysoké školy mohou v omezeném počtu zřizovat pracovní místa mimořádných a hostujících docentů a profesorů,</w:t>
      </w:r>
    </w:p>
    <w:p>
      <w:pPr>
        <w:pStyle w:val="Normal"/>
        <w:keepLines/>
        <w:numPr>
          <w:ilvl w:val="1"/>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jde vždy o pracovní místa obsazovaná na dobu určitou nebo s úvazkem menším než 0,5,</w:t>
      </w:r>
    </w:p>
    <w:p>
      <w:pPr>
        <w:pStyle w:val="Normal"/>
        <w:keepLines/>
        <w:numPr>
          <w:ilvl w:val="1"/>
          <w:numId w:val="68"/>
        </w:numPr>
        <w:pBdr/>
        <w:spacing w:lineRule="auto" w:line="259" w:before="0" w:after="320"/>
        <w:jc w:val="both"/>
        <w:rPr>
          <w:rFonts w:cs="Arial"/>
          <w:kern w:val="2"/>
          <w14:ligatures w14:val="standardContextual"/>
        </w:rPr>
      </w:pPr>
      <w:r>
        <w:rPr>
          <w:rFonts w:cs="Arial"/>
          <w:kern w:val="2"/>
          <w14:ligatures w14:val="standardContextual"/>
        </w:rPr>
        <w:t>vysoká škola může pravidla pro pravidelné hodnocení těchto pracovníků (viz níže) upravit přiměřeně době a charakteru jejich působení.</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4.3.3 Systemizace a obsazování pracovních míst akademických pracovníků</w:t>
      </w:r>
    </w:p>
    <w:p>
      <w:pPr>
        <w:pStyle w:val="Normal"/>
        <w:spacing w:before="0" w:after="160"/>
        <w:jc w:val="both"/>
        <w:rPr>
          <w:rFonts w:cs="Arial"/>
          <w:color w:val="000000"/>
          <w:kern w:val="2"/>
          <w14:ligatures w14:val="standardContextual"/>
        </w:rPr>
      </w:pPr>
      <w:r>
        <w:rPr>
          <w:rFonts w:cs="Arial"/>
          <w:color w:val="000000"/>
          <w:kern w:val="2"/>
          <w14:ligatures w14:val="standardContextual"/>
        </w:rPr>
        <w:t>Zákon stanoví:</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 xml:space="preserve">VŠ sama rozhoduje, kolik pracovních míst akademických pracovníků a ve kterém kariérním stupni vytvoří („systemizace pracovních míst“), s jednou výjimkou – vysoká škola musí zajistit pracovní místa třetího kariérního stupně pro akademické pracovníky, kteří splní podmínky pro kariérní postup na </w:t>
      </w:r>
      <w:r>
        <w:rPr>
          <w:rFonts w:cs="Arial"/>
          <w:kern w:val="2"/>
          <w14:ligatures w14:val="standardContextual"/>
        </w:rPr>
        <w:t xml:space="preserve">pracovním místě s garantovaným kariérním postupem (tj. </w:t>
      </w:r>
      <w:r>
        <w:rPr>
          <w:rFonts w:cs="Arial"/>
          <w:color w:val="000000"/>
          <w:kern w:val="2"/>
          <w14:ligatures w14:val="standardContextual"/>
        </w:rPr>
        <w:t>v režimu tenure track),</w:t>
      </w:r>
    </w:p>
    <w:p>
      <w:pPr>
        <w:pStyle w:val="Normal"/>
        <w:keepLines/>
        <w:numPr>
          <w:ilvl w:val="0"/>
          <w:numId w:val="68"/>
        </w:numPr>
        <w:pBdr/>
        <w:spacing w:lineRule="auto" w:line="259" w:before="0" w:after="160"/>
        <w:jc w:val="both"/>
        <w:rPr>
          <w:rFonts w:cs="Arial"/>
          <w:b/>
          <w:bCs/>
          <w:color w:val="000000"/>
          <w:kern w:val="2"/>
          <w14:ligatures w14:val="standardContextual"/>
        </w:rPr>
      </w:pPr>
      <w:r>
        <w:rPr>
          <w:rFonts w:cs="Arial"/>
          <w:color w:val="000000"/>
          <w:kern w:val="2"/>
          <w14:ligatures w14:val="standardContextual"/>
        </w:rPr>
        <w:t>pracovní místa prvního a druhého kariérního stupně nezařazená do režimu tenure track mohou být obsazována bez zvláštních požadavků zákona o vysokých školách na výběrové řízení; pracovněprávní vztah se řídí zákoníkem práce,</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pro přijetí do doktorského studijního programu se nadále předpokládá řádné přijímací řízení s předem zveřejněnými podmínkami.</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4.3.4 Systém hodnocení akademických pracovníků</w:t>
      </w:r>
    </w:p>
    <w:p>
      <w:pPr>
        <w:pStyle w:val="Normal"/>
        <w:keepLines/>
        <w:spacing w:lineRule="auto" w:line="259" w:before="240" w:after="240"/>
        <w:jc w:val="both"/>
        <w:rPr>
          <w:rFonts w:cs="Arial"/>
          <w:color w:val="000000"/>
          <w:kern w:val="2"/>
          <w14:ligatures w14:val="standardContextual"/>
        </w:rPr>
      </w:pPr>
      <w:r>
        <w:rPr>
          <w:rFonts w:cs="Arial"/>
          <w:color w:val="000000"/>
          <w:kern w:val="2"/>
          <w14:ligatures w14:val="standardContextual"/>
        </w:rPr>
        <w:t>Hodnocení bude založeno na následujících zásadách:</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akademičtí pracovníci budou nejméně</w:t>
      </w:r>
      <w:r>
        <w:rPr>
          <w:rFonts w:cs="Arial"/>
          <w:b/>
          <w:bCs/>
          <w:color w:val="000000"/>
          <w:kern w:val="2"/>
          <w14:ligatures w14:val="standardContextual"/>
        </w:rPr>
        <w:t xml:space="preserve"> </w:t>
      </w:r>
      <w:r>
        <w:rPr>
          <w:rFonts w:cs="Arial"/>
          <w:color w:val="000000"/>
          <w:kern w:val="2"/>
          <w14:ligatures w14:val="standardContextual"/>
        </w:rPr>
        <w:t>jednou za pět let podrobeni komplexnímu hodnocení, prováděnému s důrazem na kvalitu a dopad jejich činností,</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hodnocení bude možné na žádost pracovníka uskutečnit i dříve, pravidla pro takové hodnocení budou upravena vnitřním předpisem vysoké školy,</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hodnoticí období se prodlouží v případě kariérní přestávky nebo jiných okolností hodných zvláštního zřetele,</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vysoká škola může pro své vnitřní účely (odměňování ad.) provádět vlastní hodnocení častěji,</w:t>
      </w:r>
    </w:p>
    <w:p>
      <w:pPr>
        <w:pStyle w:val="Normal"/>
        <w:keepLines/>
        <w:numPr>
          <w:ilvl w:val="0"/>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kritéria pro hodnocení budou transparentní a předem známá,</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zohledněna budou kvantitativní kritéria (bibliometrie, počty odučených kurzů apod.) s tím, že důraz bude kladen zejména na kvalitativní hodnocení a odborné posouzení (peer review),</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hodnocení bude prováděno na základě různých zdrojů dat, vč. například zpětné vazby od studentů, partnerů z praxe ad. tam, kde je to relevantní, s ohledem na profil pracovníka,</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hodnocení zohlední jak výstupy pracovníků, tak jejich činnosti pro vnitřní rozvoj instituce (vč. např. účasti v pracovních skupinách a komisích, podpory ostatních pracovníků, práce pro komunitu ad.) a podporu studentů,</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kritéria budou specifikovaná pro jednotlivé kariérní stupně a oblasti činností,</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kritéria mohou být též v přiměřené míře specifická pro jednotlivé disciplíny (např. dle FORD nebo ISCED-F),</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 xml:space="preserve">při hodnocení pracovníků může být zohledněna i jejich odborná praxe mimo vysokou školu, a to zejména u osob, které na vysoké škole mají menší než plný pracovní úvazek, </w:t>
      </w:r>
    </w:p>
    <w:p>
      <w:pPr>
        <w:pStyle w:val="Normal"/>
        <w:keepLines/>
        <w:numPr>
          <w:ilvl w:val="0"/>
          <w:numId w:val="68"/>
        </w:numPr>
        <w:pBdr/>
        <w:spacing w:lineRule="auto" w:line="259" w:before="0" w:after="160"/>
        <w:jc w:val="both"/>
        <w:rPr>
          <w:rFonts w:cs="Arial"/>
          <w:kern w:val="2"/>
          <w14:ligatures w14:val="standardContextual"/>
        </w:rPr>
      </w:pPr>
      <w:r>
        <w:rPr>
          <w:rFonts w:cs="Arial"/>
          <w:kern w:val="2"/>
          <w14:ligatures w14:val="standardContextual"/>
        </w:rPr>
        <w:t>základní kritéria pro hodnocení budou pracovníkům známa před začátkem hodnoceného období, tj. nejméně pět let před hodnocením; v průběhu hodnotícího cyklu je možné provádět jen dílčí změny a upřesnění, a to s následujícími omezeními,</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u každé změny hodnotících kritérií bude uvedeno, zda jde o podstatnou změnu nebo dílčí upřesnění, a zda jde o změnu, která rozšiřuje či zavádí nové požadavky, nebo o změnu, která požadavky snižuje (tj. o změnu v ne/prospěch pracovníků), k označení změn dle těchto kategorií se vyjadřuje vědecká rada nebo obdobný orgán (a/nebo akademický senát),</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 xml:space="preserve"> </w:t>
      </w:r>
      <w:r>
        <w:rPr>
          <w:rFonts w:cs="Arial"/>
          <w:kern w:val="2"/>
          <w14:ligatures w14:val="standardContextual"/>
        </w:rPr>
        <w:t xml:space="preserve">změny kritérií v neprospěch pracovníků budou moci být uplatněny pouze pro hodnocení období, které začalo po jejich schválení, </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změny kritérií ve prospěch pracovníků budou moci být uplatněny okamžitě,</w:t>
      </w:r>
    </w:p>
    <w:p>
      <w:pPr>
        <w:pStyle w:val="Normal"/>
        <w:keepLines/>
        <w:numPr>
          <w:ilvl w:val="0"/>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hodnocení provádí odborná hodnoticí komise,</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v případě pracovních míst prvního kariérního stupně a pracovních míst druhého kariérního stupně nezařazených do režimu tenure track může být hodnotící komise čistě interní,</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v případě pracovních míst v režimu tenure track a pracovních míst třetího kariérního stupně bude</w:t>
      </w:r>
      <w:r>
        <w:rPr>
          <w:rFonts w:cs="Arial"/>
          <w:color w:val="000000"/>
          <w:kern w:val="2"/>
          <w14:ligatures w14:val="standardContextual"/>
        </w:rPr>
        <w:t xml:space="preserve"> členem komise vždy alespoň jeden externí člen – zpravidla akademický nebo výzkumný pracovník z jiné instituce,</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v případě pracovních míst čtvrtého kariérního stupně bude členem komise vždy alespoň jeden externí člen působící v zahraničí,</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odpovídá-li to profilu akademického pracovníka, mohou být mezi externími členy komise i odborníci z praxe,</w:t>
      </w:r>
    </w:p>
    <w:p>
      <w:pPr>
        <w:pStyle w:val="Normal"/>
        <w:keepLines/>
        <w:numPr>
          <w:ilvl w:val="1"/>
          <w:numId w:val="68"/>
        </w:numPr>
        <w:pBdr/>
        <w:spacing w:lineRule="auto" w:line="259" w:before="0" w:after="160"/>
        <w:jc w:val="both"/>
        <w:rPr>
          <w:rFonts w:cs="Arial"/>
          <w:b/>
          <w:bCs/>
          <w:color w:val="000000"/>
          <w:kern w:val="2"/>
          <w14:ligatures w14:val="standardContextual"/>
        </w:rPr>
      </w:pPr>
      <w:r>
        <w:rPr>
          <w:rFonts w:cs="Arial"/>
          <w:color w:val="000000"/>
          <w:kern w:val="2"/>
          <w14:ligatures w14:val="standardContextual"/>
        </w:rPr>
        <w:t>v případě hodnocení pracovníka s významnou složkou vzdělávací činnosti v jeho profilu je členem komise bez hlasovacího práva zástupce studentů,</w:t>
      </w:r>
    </w:p>
    <w:p>
      <w:pPr>
        <w:pStyle w:val="Normal"/>
        <w:keepLines/>
        <w:numPr>
          <w:ilvl w:val="1"/>
          <w:numId w:val="68"/>
        </w:numPr>
        <w:pBdr/>
        <w:spacing w:lineRule="auto" w:line="259" w:before="0" w:after="160"/>
        <w:jc w:val="both"/>
        <w:rPr>
          <w:rFonts w:cs="Arial"/>
          <w:b/>
          <w:bCs/>
          <w:color w:val="000000"/>
          <w:kern w:val="2"/>
          <w14:ligatures w14:val="standardContextual"/>
        </w:rPr>
      </w:pPr>
      <w:r>
        <w:rPr>
          <w:rFonts w:cs="Arial"/>
          <w:color w:val="000000"/>
          <w:kern w:val="2"/>
          <w14:ligatures w14:val="standardContextual"/>
        </w:rPr>
        <w:t>členem komise nesmějí být osoby, které jsou s hodnoceným pracovníkem spoluautory publikací, společně řeší projekty nebo zajišťují výuku týchž předmětů anebo mají téhož přímého nadřízeného (tj. typicky působí na stejné katedře) nebo jsou v jiném střetu zájmů,</w:t>
      </w:r>
    </w:p>
    <w:p>
      <w:pPr>
        <w:pStyle w:val="Normal"/>
        <w:keepLines/>
        <w:numPr>
          <w:ilvl w:val="1"/>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pro úzce specializované obory lze připustit odůvodněnou výjimku při zachování nezávislé většiny a nestranného předsedy.</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v případě výběrových komisí pro obsazení pracovních pozic se uplatní stejné požadavky,</w:t>
      </w:r>
    </w:p>
    <w:p>
      <w:pPr>
        <w:pStyle w:val="Normal"/>
        <w:keepLines/>
        <w:numPr>
          <w:ilvl w:val="0"/>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pracovník je hodnocen samostatně za jednotlivé činnosti, které spadají do jeho profilu, přičemž souhrnné hodnocení zohledňuje podíl jednotlivých činností na jeho profilu,</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výsledek hodnocení má vliv na výši mzdy, kariérní postup a může být impulsem pro změnu profilu pracovníka,</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v případě neuspokojivých výsledků komise stanoví nápravná opatření a lhůtu pro mimořádné hodnocení; nenaplnění předepsaných opatření nebo negativní výsledek tohoto mimořádného hodnocení pak povedou ke skončení pracovního poměru pracovníka nebo k jeho zařazení na pracovní místo v nižším kariérním stupni,</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 xml:space="preserve">vysoká škola může zřídit zvláštní </w:t>
      </w:r>
      <w:r>
        <w:rPr>
          <w:rFonts w:cs="Arial"/>
          <w:color w:val="0D0D0D"/>
          <w:kern w:val="2"/>
          <w14:ligatures w14:val="standardContextual"/>
        </w:rPr>
        <w:t>postdoktorandská</w:t>
      </w:r>
      <w:r>
        <w:rPr>
          <w:rFonts w:cs="Arial"/>
          <w:color w:val="000000"/>
          <w:kern w:val="2"/>
          <w14:ligatures w14:val="standardContextual"/>
        </w:rPr>
        <w:t xml:space="preserve"> pracovní místa, pro která se některá z výše popsaných pravidel upraví specificky,</w:t>
      </w:r>
    </w:p>
    <w:p>
      <w:pPr>
        <w:pStyle w:val="Normal"/>
        <w:keepLines/>
        <w:numPr>
          <w:ilvl w:val="0"/>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profil postdoktorandů je zpravidla dominantně (alespoň z 90 %) zaměřen na výzkumnou činnost,</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pracovní poměr postdoktorandů se sjednává na dobu určitou, zpravidla na jeden až tři roky,</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 xml:space="preserve">pracovní poměr postdoktoranda na dobu určitou lze sjednat, opakovat nebo prodloužit nejvýše na celkovou dobu šesti let (prodlouženou o dobu případné kariérní přestávky), poté se předpokládá přechod na jiné pracovní místo (typicky v režimu tenure track), příp. ukončení pracovního poměru, </w:t>
      </w:r>
      <w:r>
        <w:rPr>
          <w:rFonts w:cs="Arial"/>
          <w:color w:val="000000"/>
          <w:kern w:val="2"/>
          <w14:ligatures w14:val="standardContextual"/>
        </w:rPr>
        <w:t>pravidla pro hodnocení pracovníků se v případě postdoktorandů uplatní přiměřeně délce doby, na kterou je jejich smlouva uzavřena,</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podmínkou pro obsazení postdoktorandského pracovního místa je vzdělání získané absolvováním doktorského studijního programu nebo srovnatelné zahraniční vzdělání nebo kvalifikace; vysoká škola může stanovit dobu od získání tohoto vzdělání nebo kvalifikace, v níž se lze o takové pracovní místo ucházet,</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vysoká škola může z obsazování postdoktorandských pracovních míst vyloučit vlastní absolventy nebo zaměstnance,</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vysoká škola postdoktorandům zajišťuje mentorské vedení a zvláštní podporu pro další kariérní postup zahrnující individuální plány kariérního rozvoje,</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vysoká škola postdoktorandům umožňuje přípravu jak na další uplatnění v akademické oblasti, tak na přechod do jiných sektorů.</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4.3.5 Režim tenure track</w:t>
      </w:r>
    </w:p>
    <w:p>
      <w:pPr>
        <w:pStyle w:val="Normal"/>
        <w:keepLines/>
        <w:pBdr/>
        <w:spacing w:lineRule="auto" w:line="259"/>
        <w:jc w:val="both"/>
        <w:rPr>
          <w:rFonts w:cs="Arial"/>
          <w:kern w:val="2"/>
          <w14:ligatures w14:val="standardContextual"/>
        </w:rPr>
      </w:pPr>
      <w:r>
        <w:rPr>
          <w:rFonts w:cs="Arial"/>
          <w:color w:val="000000"/>
          <w:kern w:val="2"/>
          <w14:ligatures w14:val="standardContextual"/>
        </w:rPr>
        <w:t>Zavádí se tzv. režim „tenure track“, který dává talentovaným pracovníkům na počátku kariéry jasnou kariérní perspektivu a předvídatelná pravidla pro postup z druhého do třetího kariérního stupně, případně pro obsazení funkčního místa docenta:</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 xml:space="preserve">pracovní místa v režimu tenure track jsou jednoznačně identifikována a existují paralelně k jiným pracovním místům druhého kariérního stupně, </w:t>
      </w:r>
    </w:p>
    <w:p>
      <w:pPr>
        <w:pStyle w:val="Normal"/>
        <w:keepLines/>
        <w:numPr>
          <w:ilvl w:val="1"/>
          <w:numId w:val="68"/>
        </w:numPr>
        <w:pBdr/>
        <w:spacing w:lineRule="auto" w:line="259" w:before="0" w:after="160"/>
        <w:jc w:val="both"/>
        <w:rPr>
          <w:rFonts w:cs="Arial"/>
          <w:kern w:val="2"/>
          <w14:ligatures w14:val="standardContextual"/>
        </w:rPr>
      </w:pPr>
      <w:sdt>
        <w:sdtPr>
          <w:tag w:val="goog_rdk_8"/>
          <w:id w:val="-2033624156"/>
        </w:sdtPr>
        <w:sdtContent>
          <w:r>
            <w:rPr/>
          </w:r>
          <w:r>
            <w:rPr/>
          </w:r>
        </w:sdtContent>
      </w:sdt>
      <w:r>
        <w:rPr>
          <w:rFonts w:cs="Arial"/>
          <w:color w:val="000000"/>
          <w:kern w:val="2"/>
          <w14:ligatures w14:val="standardContextual"/>
        </w:rPr>
        <w:t>vysoké školy si samy rozhodují, kolik pracovních míst druhého kariérního stupně zařadí do režimu tenure track a kolik ponechají mimo tento režim,</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pracovní místa v režimu tenure track se vždy obsazují v otevřeném výběrovém řízení s transparentními kritérii a externími členy výběrové komise; vyhlášení výběrového řízení se zveřejňuje i v zahraničí,</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vysoká škola může z obsazování pracovních míst v režimu tenure track vyloučit vlastní absolventy nebo zaměstnance,</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pracovní poměr pracovníků zařazených do režimu tenure track se sjednává na dobu neurčitou, s jasnými pravidly pro jeho skončení na základě hodnocení,</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 xml:space="preserve">pracovníci zařazení do režimu tenure track procházejí pravidelným hodnocením </w:t>
      </w:r>
      <w:sdt>
        <w:sdtPr>
          <w:tag w:val="goog_rdk_9"/>
          <w:id w:val="620814410"/>
        </w:sdtPr>
        <w:sdtContent>
          <w:r>
            <w:rPr>
              <w:rFonts w:cs="Arial"/>
              <w:color w:val="000000"/>
              <w:kern w:val="2"/>
              <w14:ligatures w14:val="standardContextual"/>
            </w:rPr>
          </w:r>
          <w:r>
            <w:rPr>
              <w:rFonts w:cs="Arial"/>
              <w:color w:val="000000"/>
              <w:kern w:val="2"/>
              <w14:ligatures w14:val="standardContextual"/>
            </w:rPr>
          </w:r>
        </w:sdtContent>
      </w:sdt>
      <w:r>
        <w:rPr>
          <w:rFonts w:cs="Arial"/>
          <w:color w:val="000000"/>
          <w:kern w:val="2"/>
          <w14:ligatures w14:val="standardContextual"/>
        </w:rPr>
        <w:t>po pěti letech, stejně jako ostatní pracovníci, nicméně s některými specifiky:</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výsledkem prvního hodnocení může být buďto zařazení pracovníka na pracovní místo třetího kariérního stupně, pokračování v režimu tenure track na další období, stanovení nápravných opatření a lhůty pro mimořádné hodnocení nebo vyřazení z režimu tenure track,</w:t>
      </w:r>
    </w:p>
    <w:p>
      <w:pPr>
        <w:pStyle w:val="Normal"/>
        <w:keepLines/>
        <w:numPr>
          <w:ilvl w:val="2"/>
          <w:numId w:val="68"/>
        </w:numPr>
        <w:pBdr/>
        <w:spacing w:lineRule="auto" w:line="259" w:before="0" w:after="160"/>
        <w:jc w:val="both"/>
        <w:rPr>
          <w:rFonts w:cs="Arial"/>
          <w:kern w:val="2"/>
          <w14:ligatures w14:val="standardContextual"/>
        </w:rPr>
      </w:pPr>
      <w:r>
        <w:rPr>
          <w:rFonts w:cs="Arial"/>
          <w:color w:val="000000"/>
          <w:kern w:val="2"/>
          <w14:ligatures w14:val="standardContextual"/>
        </w:rPr>
        <w:t>nenaplnění případných nápravných opatření nebo negativní výsledek mimořádného hodnocení pak povedou k vyřazení z režimu tenure track,</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výsledkem druhého hodnocení může být buď zařazení pracovníka na pracovní místo třetího kariérního stupně nebo vyřazení z režimu tenure track, ale už ne pokračování na témže pracovním místě v tomto režimu,</w:t>
      </w:r>
    </w:p>
    <w:p>
      <w:pPr>
        <w:pStyle w:val="Normal"/>
        <w:keepLines/>
        <w:numPr>
          <w:ilvl w:val="1"/>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je na rozhodnutí vysoké školy, zda pracovníkům vyřazeným z režimu tenure track nabídne jiné pracovní místo nebo s nimi rozváže pracovní poměr,</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v ostatních aspektech se uplatní pravidla pro hodnocení jako u pracovních míst třetího kariérního stupně (transparentnost, externí členové v komisi apod.),</w:t>
      </w:r>
    </w:p>
    <w:p>
      <w:pPr>
        <w:pStyle w:val="Normal"/>
        <w:keepLines/>
        <w:numPr>
          <w:ilvl w:val="0"/>
          <w:numId w:val="68"/>
        </w:numPr>
        <w:pBdr/>
        <w:spacing w:lineRule="auto" w:line="259" w:before="0" w:after="160"/>
        <w:jc w:val="both"/>
        <w:rPr>
          <w:rFonts w:cs="Arial"/>
          <w:kern w:val="2"/>
          <w14:ligatures w14:val="standardContextual"/>
        </w:rPr>
      </w:pPr>
      <w:sdt>
        <w:sdtPr>
          <w:tag w:val="goog_rdk_10"/>
          <w:id w:val="1800002167"/>
        </w:sdtPr>
        <w:sdtContent>
          <w:r>
            <w:rPr/>
          </w:r>
          <w:r>
            <w:rPr/>
          </w:r>
        </w:sdtContent>
      </w:sdt>
      <w:r>
        <w:rPr>
          <w:rFonts w:cs="Arial"/>
          <w:color w:val="000000"/>
          <w:kern w:val="2"/>
          <w14:ligatures w14:val="standardContextual"/>
        </w:rPr>
        <w:t>vysoká škola může namísto dvou hodnocení po pěti letech zavést systém tří hodnocení v kratších cyklech tak, aby celková doba režimu tenure track nepřesáhla dobu deseti let (prodlouženou o případnou kariérní přestávku),</w:t>
      </w:r>
    </w:p>
    <w:p>
      <w:pPr>
        <w:pStyle w:val="Normal"/>
        <w:keepLines/>
        <w:numPr>
          <w:ilvl w:val="0"/>
          <w:numId w:val="68"/>
        </w:numPr>
        <w:pBdr/>
        <w:spacing w:lineRule="auto" w:line="259" w:before="0" w:after="320"/>
        <w:jc w:val="both"/>
        <w:rPr>
          <w:rFonts w:cs="Arial"/>
          <w:kern w:val="2"/>
          <w14:ligatures w14:val="standardContextual"/>
        </w:rPr>
      </w:pPr>
      <w:r>
        <w:rPr>
          <w:rFonts w:cs="Arial"/>
          <w:color w:val="000000"/>
          <w:kern w:val="2"/>
          <w14:ligatures w14:val="standardContextual"/>
        </w:rPr>
        <w:t>zařazení do režimu tenure track je vždy spojeno s mentorskou a další podporou směřující k přípravě pracovníka na obsazení pracovního místa třetího kariérního stupně.</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4.3.6 Postavení dnešních docentů a profesorů</w:t>
      </w:r>
    </w:p>
    <w:p>
      <w:pPr>
        <w:pStyle w:val="Normal"/>
        <w:keepLines/>
        <w:pBdr/>
        <w:spacing w:lineRule="auto" w:line="259" w:before="0" w:after="160"/>
        <w:jc w:val="both"/>
        <w:rPr>
          <w:rFonts w:cs="Arial"/>
          <w:kern w:val="2"/>
          <w14:ligatures w14:val="standardContextual"/>
        </w:rPr>
      </w:pPr>
      <w:r>
        <w:rPr>
          <w:rFonts w:cs="Arial"/>
          <w:color w:val="000000"/>
          <w:kern w:val="2"/>
          <w14:ligatures w14:val="standardContextual"/>
        </w:rPr>
        <w:t xml:space="preserve">Osobám, které byly před účinností nového zákona jmenovány docentem nebo profesorem, zůstane dosavadní titul zachován. Bude nastaveno </w:t>
      </w:r>
      <w:r>
        <w:rPr>
          <w:rFonts w:cs="Arial"/>
          <w:bCs/>
          <w:color w:val="000000"/>
          <w:kern w:val="2"/>
          <w14:ligatures w14:val="standardContextual"/>
        </w:rPr>
        <w:t>5leté přechodné období pro</w:t>
      </w:r>
      <w:r>
        <w:rPr>
          <w:rFonts w:cs="Arial"/>
          <w:color w:val="000000"/>
          <w:kern w:val="2"/>
          <w14:ligatures w14:val="standardContextual"/>
        </w:rPr>
        <w:t xml:space="preserve"> obsazení funkčních míst podle nového zákona tak, aby osoby dosud působící jako docenti nebo profesoři nepřišly náhle o své dosavadní pracovní zařazení a aby proces transformace byl plynulý. Zvláštní ochrana bude přiznána docentům a profesorům v předdůchodovém věku.</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4.3.7 Další opatření v oblasti pracovního práva</w:t>
      </w:r>
    </w:p>
    <w:p>
      <w:pPr>
        <w:pStyle w:val="Normal"/>
        <w:keepNext w:val="true"/>
        <w:keepLines/>
        <w:numPr>
          <w:ilvl w:val="0"/>
          <w:numId w:val="0"/>
        </w:numPr>
        <w:suppressAutoHyphens w:val="true"/>
        <w:spacing w:before="320" w:after="160"/>
        <w:outlineLvl w:val="4"/>
        <w:rPr>
          <w:rFonts w:eastAsia="MS PGothic" w:cs="Arial"/>
          <w:kern w:val="2"/>
          <w14:ligatures w14:val="standardContextual"/>
        </w:rPr>
      </w:pPr>
      <w:r>
        <w:rPr>
          <w:rFonts w:eastAsia="MS PGothic" w:cs="Arial"/>
          <w:kern w:val="2"/>
          <w14:ligatures w14:val="standardContextual"/>
        </w:rPr>
        <w:t>Souběžné pracovněprávní vztahy a jiné výdělečné činnosti</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Akademičtí pracovníci, jejichž sjednaná týdenní pracovní doba na vysoké škole činí alespoň polovinu stanovené týdenní pracovní doby, mají povinnost informovat vysokou školu o dalších pracovněprávních vztazích a o výkonu samostatné výdělečné činnosti.</w:t>
      </w:r>
    </w:p>
    <w:p>
      <w:pPr>
        <w:pStyle w:val="Normal"/>
        <w:keepLines/>
        <w:numPr>
          <w:ilvl w:val="0"/>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Akademičtí pracovníci smějí pro jiného zaměstnavatele vykonávat výdělečnou činnost shodnou s předmětem činnosti vysoké školy pouze s jejím předchozím písemným souhlasem; výjimka pro vědeckou, pedagogickou, publicistickou, literární a uměleckou činnost podle § 304 odst. 3 zákoníku práce se uplatní s tím limitem, že pro obdobnou činnost, kterou vykonává pro vysokou školu, bude vyžadován vždy souhlas dané vysoké školy.</w:t>
      </w:r>
    </w:p>
    <w:p>
      <w:pPr>
        <w:pStyle w:val="Normal"/>
        <w:spacing w:before="0" w:after="160"/>
        <w:jc w:val="both"/>
        <w:rPr>
          <w:rFonts w:eastAsia="MS PGothic" w:cs="Arial"/>
          <w:kern w:val="2"/>
          <w:sz w:val="22"/>
          <w:szCs w:val="22"/>
          <w14:ligatures w14:val="standardContextual"/>
        </w:rPr>
      </w:pPr>
      <w:r>
        <w:rPr>
          <w:rFonts w:eastAsia="MS PGothic" w:cs="Arial"/>
          <w:kern w:val="2"/>
          <w14:ligatures w14:val="standardContextual"/>
        </w:rPr>
        <w:t>Skončení pracovního poměru při dosažení věku 70 let a postavení emeritních akademických pracovníků:</w:t>
      </w:r>
    </w:p>
    <w:p>
      <w:pPr>
        <w:pStyle w:val="Normal"/>
        <w:keepLines/>
        <w:numPr>
          <w:ilvl w:val="0"/>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Pracovní poměr akademického pracovníka sjednaný na dobu neurčitou skončí ze zákona 31. prosincem roku, v němž pracovník dosáhne věku 70 let, pokud jeho pracovní poměr neskončil dříve podle zákoníku práce.</w:t>
      </w:r>
    </w:p>
    <w:p>
      <w:pPr>
        <w:pStyle w:val="Normal"/>
        <w:keepLines/>
        <w:numPr>
          <w:ilvl w:val="0"/>
          <w:numId w:val="68"/>
        </w:numPr>
        <w:pBdr/>
        <w:spacing w:lineRule="auto" w:line="259" w:before="0" w:after="160"/>
        <w:jc w:val="both"/>
        <w:rPr>
          <w:rFonts w:cs="Arial"/>
          <w:bCs/>
          <w:color w:val="000000"/>
          <w:kern w:val="2"/>
          <w14:ligatures w14:val="standardContextual"/>
        </w:rPr>
      </w:pPr>
      <w:r>
        <w:rPr>
          <w:rFonts w:cs="Arial"/>
          <w:color w:val="000000"/>
          <w:kern w:val="2"/>
          <w14:ligatures w14:val="standardContextual"/>
        </w:rPr>
        <w:t xml:space="preserve">Vysoká škola může pracovníkovi po dosažení 70 let nabídnout </w:t>
      </w:r>
      <w:r>
        <w:rPr>
          <w:rFonts w:cs="Arial"/>
          <w:bCs/>
          <w:color w:val="000000"/>
          <w:kern w:val="2"/>
          <w14:ligatures w14:val="standardContextual"/>
        </w:rPr>
        <w:t>pracovní místo emeritního akademického pracovníka, přičemž:</w:t>
      </w:r>
    </w:p>
    <w:p>
      <w:pPr>
        <w:pStyle w:val="Normal"/>
        <w:keepLines/>
        <w:numPr>
          <w:ilvl w:val="1"/>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uzavření pracovní smlouvy bude podmíněno kladným stanoviskem nezávislé komise ustavené na základě interní normy,</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pracovní poměr emeritního akademického pracovníka se sjednává na dobu určitou, nejvýše na stanovenou dobu (např. jeden až tři roky), a lze jej prodloužit pouze na základě dalšího hodnocení,</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 xml:space="preserve">omezení opakování pracovního poměru na dobu určitou podle zákoníku práce se u emeritních akademických pracovníků neuplatní; </w:t>
      </w:r>
      <w:r>
        <w:rPr>
          <w:rFonts w:cs="Arial"/>
          <w:kern w:val="2"/>
          <w14:ligatures w14:val="standardContextual"/>
        </w:rPr>
        <w:t>p</w:t>
      </w:r>
      <w:r>
        <w:rPr>
          <w:rFonts w:cs="Arial"/>
          <w:color w:val="000000"/>
          <w:kern w:val="2"/>
          <w14:ligatures w14:val="standardContextual"/>
        </w:rPr>
        <w:t>ři kladném hodnocení lze pracovní poměr opakovaně prodlužovat,</w:t>
      </w:r>
    </w:p>
    <w:p>
      <w:pPr>
        <w:pStyle w:val="Normal"/>
        <w:keepLines/>
        <w:numPr>
          <w:ilvl w:val="0"/>
          <w:numId w:val="68"/>
        </w:numPr>
        <w:pBdr/>
        <w:spacing w:lineRule="auto" w:line="259" w:before="0" w:after="320"/>
        <w:jc w:val="both"/>
        <w:rPr>
          <w:rFonts w:cs="Arial"/>
          <w:kern w:val="2"/>
          <w14:ligatures w14:val="standardContextual"/>
        </w:rPr>
      </w:pPr>
      <w:r>
        <w:rPr>
          <w:rFonts w:cs="Arial"/>
          <w:color w:val="000000"/>
          <w:kern w:val="2"/>
          <w14:ligatures w14:val="standardContextual"/>
        </w:rPr>
        <w:t>Pracovní místa emeritních akademických pracovníků se nepovažují za funkční místa docentů ani profesorů a pracovní náplní na těchto pracovních místech není výkon vedoucí funkce.</w:t>
      </w:r>
    </w:p>
    <w:p>
      <w:pPr>
        <w:pStyle w:val="Normal"/>
        <w:keepLines/>
        <w:numPr>
          <w:ilvl w:val="0"/>
          <w:numId w:val="68"/>
        </w:numPr>
        <w:pBdr/>
        <w:spacing w:lineRule="auto" w:line="259" w:before="0" w:after="320"/>
        <w:jc w:val="both"/>
        <w:rPr>
          <w:rFonts w:cs="Arial"/>
          <w:kern w:val="2"/>
          <w14:ligatures w14:val="standardContextual"/>
        </w:rPr>
      </w:pPr>
      <w:r>
        <w:rPr>
          <w:rFonts w:cs="Arial"/>
          <w:color w:val="000000"/>
          <w:kern w:val="2"/>
          <w14:ligatures w14:val="standardContextual"/>
        </w:rPr>
        <w:t>Dohody o pracích konaných mimo pracovní poměr lze uzavírat bez omezení.</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4.3.8 Institucionální ukotvení personální politiky na veřejné vysoké škole</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Univerzitní rada schvaluje vnitřní předpisy a strategii v oblasti personální politiky (vnitřní mzdový předpis, systemizace funkčních míst, pravidla hodnocení akademických pracovníků ad.), a to na návrh rektora a po projednání s akademickým senátem a vědeckou radou nebo jinak nazvaným orgánem plnícím funkci poradního orgánu rektora v oblasti akademických kariér a personálního řízení,</w:t>
      </w:r>
    </w:p>
    <w:p>
      <w:pPr>
        <w:pStyle w:val="ListParagraph"/>
        <w:keepLines/>
        <w:numPr>
          <w:ilvl w:val="0"/>
          <w:numId w:val="85"/>
        </w:numPr>
        <w:pBdr/>
        <w:spacing w:lineRule="auto" w:line="259" w:before="0" w:after="160"/>
        <w:contextualSpacing/>
        <w:jc w:val="both"/>
        <w:rPr>
          <w:rFonts w:cs="Arial"/>
          <w:kern w:val="2"/>
          <w14:ligatures w14:val="standardContextual"/>
        </w:rPr>
      </w:pPr>
      <w:r>
        <w:rPr>
          <w:rFonts w:cs="Arial"/>
          <w:bCs/>
          <w:color w:val="000000"/>
          <w:kern w:val="2"/>
          <w14:ligatures w14:val="standardContextual"/>
        </w:rPr>
        <w:t>Rektor řídí implementaci personální politiky a</w:t>
      </w:r>
      <w:r>
        <w:rPr>
          <w:rFonts w:cs="Arial"/>
          <w:color w:val="000000"/>
          <w:kern w:val="2"/>
          <w14:ligatures w14:val="standardContextual"/>
        </w:rPr>
        <w:t xml:space="preserve"> v rámci schváleného mandátu má silné pravomoci, lze předpokládat, že ve většině případů rektor svou působnost v personálních věcech ve velkém rozsahu svěří děkanům a ti její část dále svěří vedoucím katedrám a ústavů – rektorovi ale stále zůstává konečná odpovědnost a má možnost v případě nutnosti do rozhodování na fakultách zasáhnout</w:t>
      </w:r>
    </w:p>
    <w:p>
      <w:pPr>
        <w:pStyle w:val="Normal"/>
        <w:keepLines/>
        <w:numPr>
          <w:ilvl w:val="0"/>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Pojistkou nezávislosti a vysokých standardů kvality v personální oblasti bude zejména vědecká rada vysoké školy (nebo jinak nazvaný orgán plnící funkci poradního orgánu rektora v oblasti akademických kariér a personálního řízení), která se podílí na přípravě vnitřních předpisů, kritérií pro hodnocení pracovníků, vyhlašování výběrových řízení a také na jmenování členů výběrových a hodnoticích komisí:</w:t>
      </w:r>
    </w:p>
    <w:p>
      <w:pPr>
        <w:pStyle w:val="Normal"/>
        <w:keepLines/>
        <w:numPr>
          <w:ilvl w:val="1"/>
          <w:numId w:val="68"/>
        </w:numPr>
        <w:pBdr/>
        <w:spacing w:lineRule="auto" w:line="259" w:before="0" w:after="160"/>
        <w:jc w:val="both"/>
        <w:rPr>
          <w:rFonts w:cs="Arial"/>
          <w:kern w:val="2"/>
          <w14:ligatures w14:val="standardContextual"/>
        </w:rPr>
      </w:pPr>
      <w:r>
        <w:rPr>
          <w:rFonts w:cs="Arial"/>
          <w:kern w:val="2"/>
          <w14:ligatures w14:val="standardContextual"/>
        </w:rPr>
        <w:t>vědecká rada se bude zároveň podílet na zajištění srovnatelnosti postupů a výstupů výběrových a hodnoticích komisí tak, aby jejich hodnoticí závěry byly porovnatelné a splňovaly požadavky na transparentnost a předvídatelnost,</w:t>
      </w:r>
    </w:p>
    <w:p>
      <w:pPr>
        <w:pStyle w:val="Normal"/>
        <w:keepLines/>
        <w:numPr>
          <w:ilvl w:val="1"/>
          <w:numId w:val="68"/>
        </w:numPr>
        <w:pBdr/>
        <w:spacing w:lineRule="auto" w:line="259" w:before="0" w:after="160"/>
        <w:jc w:val="both"/>
        <w:rPr>
          <w:rFonts w:cs="Arial"/>
          <w:kern w:val="2"/>
          <w14:ligatures w14:val="standardContextual"/>
        </w:rPr>
      </w:pPr>
      <w:r>
        <w:rPr>
          <w:rFonts w:cs="Arial"/>
          <w:color w:val="000000"/>
          <w:kern w:val="2"/>
          <w14:ligatures w14:val="standardContextual"/>
        </w:rPr>
        <w:t>při sestavování vědecké rady bude kladen důraz na pestré zastoupení disciplín s ohledem na oborovou strukturu vysoké školy, vyvážené zastoupení mužů a žen a také na zastoupení různých typů odbornosti ve vztahu k různým profilům akademických pracovníků.</w:t>
      </w:r>
    </w:p>
    <w:p>
      <w:pPr>
        <w:pStyle w:val="Normal"/>
        <w:keepLines/>
        <w:numPr>
          <w:ilvl w:val="0"/>
          <w:numId w:val="68"/>
        </w:numPr>
        <w:pBdr/>
        <w:spacing w:lineRule="auto" w:line="259" w:before="0" w:after="160"/>
        <w:jc w:val="both"/>
        <w:rPr>
          <w:rFonts w:cs="Arial"/>
          <w:color w:val="000000"/>
          <w:kern w:val="2"/>
          <w14:ligatures w14:val="standardContextual"/>
        </w:rPr>
      </w:pPr>
      <w:r>
        <w:rPr>
          <w:rFonts w:cs="Arial"/>
          <w:color w:val="000000"/>
          <w:kern w:val="2"/>
          <w14:ligatures w14:val="standardContextual"/>
        </w:rPr>
        <w:t>Výběrové a hodnotící komise jsou složené z kombinace stálých členů (kteří budují kontinuitu a zajišťují srovnatelnost v rozhodování) a ad hoc členů (kteří mohou přinášet expertizu v konkrétní oblasti nebo zastupovat perspektivu dotčeného pracoviště).</w:t>
      </w:r>
    </w:p>
    <w:p>
      <w:pPr>
        <w:pStyle w:val="Normal"/>
        <w:keepLines/>
        <w:numPr>
          <w:ilvl w:val="0"/>
          <w:numId w:val="68"/>
        </w:numPr>
        <w:pBdr/>
        <w:spacing w:lineRule="auto" w:line="259" w:before="0" w:after="160"/>
        <w:jc w:val="both"/>
        <w:rPr>
          <w:rFonts w:cs="Arial"/>
          <w:kern w:val="2"/>
          <w14:ligatures w14:val="standardContextual"/>
        </w:rPr>
      </w:pPr>
      <w:r>
        <w:rPr>
          <w:rFonts w:cs="Arial"/>
          <w:color w:val="000000"/>
          <w:kern w:val="2"/>
          <w14:ligatures w14:val="standardContextual"/>
        </w:rPr>
        <w:t>Ochránce práv akademických pracovníků (ombudsperson) slouží jako ochranná instituce zejména pro případy diskriminace a zneužívání postavení ze strany nadřízených pracovníků.</w:t>
      </w:r>
    </w:p>
    <w:p>
      <w:pPr>
        <w:pStyle w:val="Normal"/>
        <w:keepLines/>
        <w:numPr>
          <w:ilvl w:val="0"/>
          <w:numId w:val="68"/>
        </w:numPr>
        <w:pBdr/>
        <w:spacing w:lineRule="auto" w:line="259" w:before="0" w:after="320"/>
        <w:jc w:val="both"/>
        <w:rPr>
          <w:rFonts w:cs="Arial"/>
          <w:kern w:val="2"/>
          <w14:ligatures w14:val="standardContextual"/>
        </w:rPr>
      </w:pPr>
      <w:r>
        <w:rPr>
          <w:rFonts w:cs="Arial"/>
          <w:color w:val="000000"/>
          <w:kern w:val="2"/>
          <w14:ligatures w14:val="standardContextual"/>
        </w:rPr>
        <w:t>Personální politika vysoké školy, včetně procesů pro obsazování funkčních míst a hodnocení pracovníků, je předmětem vnějšího hodnocení ze strany Akreditačního úřadu především v rámci institucionálního auditu.</w:t>
      </w:r>
    </w:p>
    <w:p>
      <w:pPr>
        <w:pStyle w:val="Normal"/>
        <w:spacing w:before="0" w:after="160"/>
        <w:jc w:val="both"/>
        <w:rPr>
          <w:rFonts w:cs="Arial"/>
          <w:kern w:val="2"/>
          <w14:ligatures w14:val="standardContextual"/>
        </w:rPr>
      </w:pPr>
      <w:r>
        <w:rPr>
          <w:rFonts w:cs="Arial"/>
          <w:kern w:val="2"/>
          <w14:ligatures w14:val="standardContextual"/>
        </w:rPr>
        <w:t>Implementace zákona v oblasti akademických kariér je navázána na implementaci změn v oblasti řízení. Nový systém nemůže začít fungovat, dokud nebudou ustaveny nové univerzitní rady, ty nepřijmou nové statuty a na jejich základě neschválí nové vnitřní předpisy a neustaví nové orgány. Není tedy možné očekávat přechod na nový model dříve než tři roky po nabytí účinnosti nového zákona.  Tento návrh pracuje s nejzazší lhůtou pěti let ode dne nabytí účinnosti zákona pro přechod na nový systém. Tato lhůta může být náročná zejména v případě větších univerzit, kde se dá očekávat komplikované vyjednávání nových kariérních předpisů.</w:t>
      </w:r>
    </w:p>
    <w:p>
      <w:pPr>
        <w:pStyle w:val="Normal"/>
        <w:spacing w:before="0" w:after="160"/>
        <w:jc w:val="both"/>
        <w:rPr>
          <w:rFonts w:cs="Arial"/>
          <w:kern w:val="2"/>
          <w14:ligatures w14:val="standardContextual"/>
        </w:rPr>
      </w:pPr>
      <w:r>
        <w:rPr>
          <w:rFonts w:cs="Arial"/>
          <w:kern w:val="2"/>
          <w14:ligatures w14:val="standardContextual"/>
        </w:rPr>
        <w:t>Návrh přechodných ustanovení hledá rovnováhu mezi dvěma protichůdnými principy. Na jedné straně chce garantovat přiměřenou míru předvídatelnosti a stability stávajícím pracovníkům vysoké školy. Na druhé straně chce ponechat dostatečnou autonomii vedení vysokých škol tak, aby mohlo efektivně vykonávat svou personální politiku, nastavit novou systemizaci pracovních míst a uvést do provozu nový systém hodnocení pracovníků.</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4.3.9 Ukončování pravidel dle stávajícího zákona</w:t>
      </w:r>
    </w:p>
    <w:p>
      <w:pPr>
        <w:pStyle w:val="Normal"/>
        <w:spacing w:before="0" w:after="160"/>
        <w:jc w:val="both"/>
        <w:rPr>
          <w:rFonts w:cs="Arial"/>
          <w:kern w:val="2"/>
          <w14:ligatures w14:val="standardContextual"/>
        </w:rPr>
      </w:pPr>
      <w:r>
        <w:rPr>
          <w:rFonts w:cs="Arial"/>
          <w:kern w:val="2"/>
          <w14:ligatures w14:val="standardContextual"/>
        </w:rPr>
        <w:t>Nová pravidla zákona v oblasti akademických kariér a pracovně právních pravidel se uplatní nejpozději do 5 let ode dne nabytí účinnosti zákona. Vysoká škola (univerzitní rada) může rozhodnout o dřívějším náběhu. Předpokladem je přijetí příslušných vnitřních předpisů (mzdové předpisy, řád výběrového řízení pro obsazování míst v novém kariérním systému).</w:t>
      </w:r>
    </w:p>
    <w:p>
      <w:pPr>
        <w:pStyle w:val="Normal"/>
        <w:spacing w:before="0" w:after="160"/>
        <w:jc w:val="both"/>
        <w:rPr>
          <w:rFonts w:eastAsia="MS PGothic" w:cs="Arial"/>
          <w:kern w:val="2"/>
          <w14:ligatures w14:val="standardContextual"/>
        </w:rPr>
      </w:pPr>
      <w:r>
        <w:rPr>
          <w:rFonts w:cs="Arial"/>
          <w:kern w:val="2"/>
          <w14:ligatures w14:val="standardContextual"/>
        </w:rPr>
        <w:t xml:space="preserve">Stávající akreditace habilitačních řízení a řízení ke jmenování profesorem platné v den předcházející dnu nabytí účinnosti zákona zůstávají v platnosti a doba jejich platnosti činí jednotně pět let ode dne nabytí účinnosti zákona. Nové akreditace habilitačního řízení a řízení ke jmenování profesorem po nabytí účinnosti zákona již nebudou udělovány. Pravomoc odejmout akreditaci podle dosavadních pravidel zůstane Akreditačnímu úřadu zachována po dobu platnosti uvedených akreditací. </w:t>
      </w:r>
      <w:r>
        <w:rPr>
          <w:rFonts w:eastAsia="MS PGothic" w:cs="Arial"/>
          <w:kern w:val="2"/>
          <w14:ligatures w14:val="standardContextual"/>
        </w:rPr>
        <w:t>Oprávnění užívat titul i “docent” nebo“ profesor” získané jmenováním podle dřívějších předpisů a existující v poslední den přede dnem nabytí účinnosti nového zákona nebude novým zákonem o vysokých školách dotčeno.</w:t>
      </w:r>
    </w:p>
    <w:p>
      <w:pPr>
        <w:pStyle w:val="Normal"/>
        <w:spacing w:before="0" w:after="160"/>
        <w:jc w:val="both"/>
        <w:rPr>
          <w:rFonts w:eastAsia="MS PGothic" w:cs="Arial"/>
          <w:kern w:val="2"/>
          <w14:ligatures w14:val="standardContextual"/>
        </w:rPr>
      </w:pPr>
      <w:r>
        <w:rPr>
          <w:rFonts w:eastAsia="MS PGothic" w:cs="Arial"/>
          <w:kern w:val="2"/>
          <w14:ligatures w14:val="standardContextual"/>
        </w:rPr>
        <w:t>Přechodná ustanovení určí nejzazší okamžik zahájení habilitačního řízení a řízení ke jmenování profesorem podle dosavadních pravidel, režim dokončení zahájených řízení po zániku akreditace a orgány, které je dokončí, pokud dosavadní vědecké rady mezitím zaniknou.</w:t>
      </w:r>
    </w:p>
    <w:p>
      <w:pPr>
        <w:pStyle w:val="Normal"/>
        <w:spacing w:before="0" w:after="160"/>
        <w:jc w:val="both"/>
        <w:rPr>
          <w:rFonts w:eastAsia="MS PGothic" w:cs="Arial"/>
          <w:b/>
          <w:bCs/>
          <w:kern w:val="2"/>
          <w14:ligatures w14:val="standardContextual"/>
        </w:rPr>
      </w:pPr>
      <w:r>
        <w:rPr>
          <w:rFonts w:eastAsia="MS PGothic" w:cs="Arial"/>
          <w:b/>
          <w:bCs/>
          <w:kern w:val="2"/>
          <w14:ligatures w14:val="standardContextual"/>
        </w:rPr>
        <w:t>4.3.10 Schvalování nových pravidel</w:t>
      </w:r>
    </w:p>
    <w:p>
      <w:pPr>
        <w:pStyle w:val="Normal"/>
        <w:spacing w:before="0" w:after="160"/>
        <w:jc w:val="both"/>
        <w:rPr>
          <w:rFonts w:cs="Arial"/>
          <w:kern w:val="2"/>
          <w14:ligatures w14:val="standardContextual"/>
        </w:rPr>
      </w:pPr>
      <w:r>
        <w:rPr>
          <w:rFonts w:cs="Arial"/>
          <w:kern w:val="2"/>
          <w14:ligatures w14:val="standardContextual"/>
        </w:rPr>
        <w:t>Ministerstvo vydá vyhlášku o rámcových požadavcích na jednotlivé kariérní stupně pracovních míst akademických pracovníků nejpozději do jednoho roku ode dne nabytí účinnosti zákona. Vysoké školy schválí nové vnitřní předpisy v personální oblasti do tří let ode dne nabytí účinnosti zákona. Tyto předpisy budou zahrnovat přinejmenším:</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specifikaci jednotlivých typů pracovních míst dle kariérních stupňů a profilů akademických pracovníků (v návaznosti na vyhlášku ministerstva školství),</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pravidla pro výběr a přijímání uchazečů na jednotlivé typy pracovních míst akademických pracovníků,</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pravidla pro hodnocení akademických pracovníků,</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mzdový předpis,</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systemizaci pracovních a funkčních míst.</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4.3.11 Převod pracovníků do nového kariérního systému</w:t>
      </w:r>
    </w:p>
    <w:p>
      <w:pPr>
        <w:pStyle w:val="Normal"/>
        <w:spacing w:before="0" w:after="160"/>
        <w:jc w:val="both"/>
        <w:rPr>
          <w:rFonts w:cs="Arial"/>
          <w:kern w:val="2"/>
          <w14:ligatures w14:val="standardContextual"/>
        </w:rPr>
      </w:pPr>
      <w:r>
        <w:rPr>
          <w:rFonts w:cs="Arial"/>
          <w:kern w:val="2"/>
          <w14:ligatures w14:val="standardContextual"/>
        </w:rPr>
        <w:t>Vedle výše uvedených předpisů přijmou vysoké školy též pravidla pro převod pracovníků do nové struktury pracovních míst. Půjde tedy o jednorázový transformační proces a nikoli o další předpis s dlouhodobou platností. Tato pravidla stanoví „datum převodu“ pracovníků ze starého systému do nového a pracovní místa, na která budou pracovníci převedeni, nejpozději do 5 let ode dne nabytí účinnosti zákona.</w:t>
      </w:r>
    </w:p>
    <w:p>
      <w:pPr>
        <w:pStyle w:val="Normal"/>
        <w:spacing w:before="0" w:after="160"/>
        <w:jc w:val="both"/>
        <w:rPr>
          <w:rFonts w:cs="Arial"/>
          <w:kern w:val="2"/>
          <w14:ligatures w14:val="standardContextual"/>
        </w:rPr>
      </w:pPr>
      <w:r>
        <w:rPr>
          <w:rFonts w:cs="Arial"/>
          <w:kern w:val="2"/>
          <w14:ligatures w14:val="standardContextual"/>
        </w:rPr>
        <w:t>Nově zřízená pracovní místa akademických pracovníků mohou být obsazována podle nově schválených vnitřních předpisů bezprostředně po jejich přijetí.</w:t>
      </w:r>
    </w:p>
    <w:p>
      <w:pPr>
        <w:pStyle w:val="Normal"/>
        <w:keepNext w:val="true"/>
        <w:keepLines/>
        <w:numPr>
          <w:ilvl w:val="0"/>
          <w:numId w:val="0"/>
        </w:numPr>
        <w:suppressAutoHyphens w:val="true"/>
        <w:spacing w:before="320" w:after="160"/>
        <w:outlineLvl w:val="4"/>
        <w:rPr>
          <w:rFonts w:eastAsia="MS PGothic" w:cs="Arial"/>
          <w:kern w:val="2"/>
          <w14:ligatures w14:val="standardContextual"/>
        </w:rPr>
      </w:pPr>
      <w:r>
        <w:rPr>
          <w:rFonts w:eastAsia="MS PGothic" w:cs="Arial"/>
          <w:kern w:val="2"/>
          <w14:ligatures w14:val="standardContextual"/>
        </w:rPr>
        <w:t>Soutěžení s možností zjednodušeného překlopení</w:t>
      </w:r>
    </w:p>
    <w:p>
      <w:pPr>
        <w:pStyle w:val="Normal"/>
        <w:keepLines/>
        <w:spacing w:lineRule="auto" w:line="259" w:before="0" w:after="160"/>
        <w:jc w:val="both"/>
        <w:rPr>
          <w:rFonts w:cs="Arial"/>
          <w:kern w:val="2"/>
          <w14:ligatures w14:val="standardContextual"/>
        </w:rPr>
      </w:pPr>
      <w:r>
        <w:rPr>
          <w:rFonts w:cs="Arial"/>
          <w:kern w:val="2"/>
          <w14:ligatures w14:val="standardContextual"/>
        </w:rPr>
        <w:t>„</w:t>
      </w:r>
      <w:r>
        <w:rPr>
          <w:rFonts w:cs="Arial"/>
          <w:kern w:val="2"/>
          <w14:ligatures w14:val="standardContextual"/>
        </w:rPr>
        <w:t xml:space="preserve">Datum převodu“ pracovníků ze starého systému do nového nastane nejdříve </w:t>
      </w:r>
      <w:r>
        <w:rPr>
          <w:rFonts w:cs="Arial"/>
          <w:color w:val="000000"/>
          <w:kern w:val="2"/>
          <w14:ligatures w14:val="standardContextual"/>
        </w:rPr>
        <w:t xml:space="preserve">jeden rok </w:t>
      </w:r>
      <w:r>
        <w:rPr>
          <w:rFonts w:cs="Arial"/>
          <w:kern w:val="2"/>
          <w14:ligatures w14:val="standardContextual"/>
        </w:rPr>
        <w:t>po schválení příslušných vnitřních předpisů a nejpozději pět let ode dne nabytí účinnosti zákona.</w:t>
      </w:r>
    </w:p>
    <w:p>
      <w:pPr>
        <w:pStyle w:val="Normal"/>
        <w:keepLines/>
        <w:spacing w:lineRule="auto" w:line="259" w:before="0" w:after="160"/>
        <w:jc w:val="both"/>
        <w:rPr>
          <w:rFonts w:cs="Arial"/>
          <w:kern w:val="2"/>
          <w14:ligatures w14:val="standardContextual"/>
        </w:rPr>
      </w:pPr>
      <w:r>
        <w:rPr>
          <w:rFonts w:cs="Arial"/>
          <w:kern w:val="2"/>
          <w14:ligatures w14:val="standardContextual"/>
        </w:rPr>
        <w:t>Vysoká škola zavede systemizovaná pracovní místa druhého kariérního stupně v tenure track, třetího kariérního stupně a čtvrtého kariérního stupně (včetně funkčních míst docentů a profesorů). Pro jejich první obsazení si však může u každého jednotlivého pracovního místa zvolit mezi dvěma režimy:</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obsazení ve výběrovém řízení podle nových pravidel – u pracovních míst druhého kariérního stupně v tenure track a pracovních míst třetího kariérního stupně obsazovaných před datem převodu může vysoká škola otevřené výběrové řízení nahradit vnitřním, pracovní místa čtvrtého kariérního stupně jsou obsazována otevřeným výběrovým řízením, nebo</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obsazení pracovního místa stávajícím pracovníkem na základě interního pracovního hodnocení (tj. pracovník působí na pracovním místě srovnatelné úrovně ve stejné organizační jednotce a se stejným druhem práce).</w:t>
      </w:r>
    </w:p>
    <w:p>
      <w:pPr>
        <w:pStyle w:val="Normal"/>
        <w:keepLines/>
        <w:spacing w:lineRule="auto" w:line="259" w:before="0" w:after="160"/>
        <w:jc w:val="both"/>
        <w:rPr>
          <w:rFonts w:cs="Arial"/>
          <w:kern w:val="2"/>
          <w14:ligatures w14:val="standardContextual"/>
        </w:rPr>
      </w:pPr>
      <w:r>
        <w:rPr>
          <w:rFonts w:cs="Arial"/>
          <w:kern w:val="2"/>
          <w14:ligatures w14:val="standardContextual"/>
        </w:rPr>
      </w:r>
    </w:p>
    <w:p>
      <w:pPr>
        <w:pStyle w:val="Normal"/>
        <w:keepLines/>
        <w:spacing w:lineRule="auto" w:line="259" w:before="0" w:after="160"/>
        <w:jc w:val="both"/>
        <w:rPr>
          <w:rFonts w:cs="Arial"/>
          <w:kern w:val="2"/>
          <w14:ligatures w14:val="standardContextual"/>
        </w:rPr>
      </w:pPr>
      <w:r>
        <w:rPr>
          <w:rFonts w:cs="Arial"/>
          <w:kern w:val="2"/>
          <w14:ligatures w14:val="standardContextual"/>
        </w:rPr>
        <w:t>O tom, který z obou režimů bude pro konkrétní pracovní místo použit, rozhoduje rektor, popř. na základě delegace děkan. Rozhodnutí se nečiní plošně pro celou školu ani pro celou kategorii pracovních míst, ale pro jednotlivá pracovní místa. Není však vyloučeno hromadné rozhodnutí o určité skupině pracovních míst, na určitém pracovišti atd.</w:t>
      </w:r>
    </w:p>
    <w:p>
      <w:pPr>
        <w:pStyle w:val="Normal"/>
        <w:keepLines/>
        <w:spacing w:lineRule="auto" w:line="259" w:before="0" w:after="160"/>
        <w:jc w:val="both"/>
        <w:rPr>
          <w:rFonts w:cs="Arial"/>
          <w:kern w:val="2"/>
          <w14:ligatures w14:val="standardContextual"/>
        </w:rPr>
      </w:pPr>
      <w:r>
        <w:rPr>
          <w:rFonts w:cs="Arial"/>
          <w:kern w:val="2"/>
          <w14:ligatures w14:val="standardContextual"/>
        </w:rPr>
        <w:t>Interní pracovní hodnocení má tyto parametry:</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posuzuje se, zda pracovník splňuje požadavky na daný kariérní stupeň a profil dle nových vnitřních předpisů – nejde tedy o srovnání s dalšími uchazeči,</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hodnocení provádí povinně hodnoticí komise obdobně jako u hodnocení v tenure track; jde tedy primárně o peer review, nikoli o mechanické ověření předem daných kvantitativních kritérií,</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uspěje-li pracovník v hodnocení, je k datu převodu převeden na dané systemizované místo podle nového systému,</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neuspěje-li, může se přihlásit do výběrového řízení na toto nebo jiné pracovní místo.</w:t>
      </w:r>
    </w:p>
    <w:p>
      <w:pPr>
        <w:pStyle w:val="Normal"/>
        <w:keepLines/>
        <w:spacing w:lineRule="auto" w:line="259" w:before="0" w:after="160"/>
        <w:jc w:val="both"/>
        <w:rPr>
          <w:rFonts w:cs="Arial"/>
          <w:kern w:val="2"/>
          <w14:ligatures w14:val="standardContextual"/>
        </w:rPr>
      </w:pPr>
      <w:r>
        <w:rPr>
          <w:rFonts w:cs="Arial"/>
          <w:kern w:val="2"/>
          <w14:ligatures w14:val="standardContextual"/>
        </w:rPr>
      </w:r>
    </w:p>
    <w:p>
      <w:pPr>
        <w:pStyle w:val="Normal"/>
        <w:keepLines/>
        <w:spacing w:lineRule="auto" w:line="259" w:before="0" w:after="160"/>
        <w:jc w:val="both"/>
        <w:rPr>
          <w:rFonts w:cs="Arial"/>
          <w:kern w:val="2"/>
          <w14:ligatures w14:val="standardContextual"/>
        </w:rPr>
      </w:pPr>
      <w:r>
        <w:rPr>
          <w:rFonts w:cs="Arial"/>
          <w:kern w:val="2"/>
          <w14:ligatures w14:val="standardContextual"/>
        </w:rPr>
        <w:t>Pro pracovníky, kteří do data převodu neuspějí ve zjednodušeném hodnocení ani ve výběrovém řízení, platí:</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vysoká škola stanoví, která pracovní místa dle dosavadního kariérního řádu odpovídají novým pracovním místům prvního kariérního stupně, a příslušné pracovníky do nich k danému datu převede,</w:t>
      </w:r>
    </w:p>
    <w:p>
      <w:pPr>
        <w:pStyle w:val="Normal"/>
        <w:keepLines/>
        <w:numPr>
          <w:ilvl w:val="0"/>
          <w:numId w:val="62"/>
        </w:numPr>
        <w:spacing w:lineRule="auto" w:line="259" w:before="0" w:after="160"/>
        <w:contextualSpacing/>
        <w:jc w:val="both"/>
        <w:rPr>
          <w:rFonts w:cs="Arial"/>
          <w:kern w:val="2"/>
          <w14:ligatures w14:val="standardContextual"/>
        </w:rPr>
      </w:pPr>
      <w:r>
        <w:rPr>
          <w:rFonts w:cs="Arial"/>
          <w:kern w:val="2"/>
          <w14:ligatures w14:val="standardContextual"/>
        </w:rPr>
        <w:t>všechny ostatní akademické pracovníky (dle nové definice) vysoká škola automaticky převede na pozice druhého kariérního stupně mimo tenure track.</w:t>
      </w:r>
    </w:p>
    <w:p>
      <w:pPr>
        <w:pStyle w:val="Normal"/>
        <w:keepNext w:val="true"/>
        <w:keepLines/>
        <w:numPr>
          <w:ilvl w:val="0"/>
          <w:numId w:val="0"/>
        </w:numPr>
        <w:suppressAutoHyphens w:val="true"/>
        <w:spacing w:before="320" w:after="160"/>
        <w:outlineLvl w:val="1"/>
        <w:rPr>
          <w:rFonts w:eastAsia="MS PGothic" w:cs="Arial"/>
          <w:b/>
          <w:bCs/>
          <w:color w:val="00469B"/>
          <w:kern w:val="2"/>
          <w:sz w:val="22"/>
          <w:szCs w:val="22"/>
          <w14:ligatures w14:val="standardContextual"/>
        </w:rPr>
      </w:pPr>
      <w:r>
        <w:rPr>
          <w:rFonts w:eastAsia="MS PGothic" w:cs="Arial"/>
          <w:b/>
          <w:bCs/>
          <w:color w:val="00469B"/>
          <w:kern w:val="2"/>
          <w:sz w:val="22"/>
          <w:szCs w:val="22"/>
          <w14:ligatures w14:val="standardContextual"/>
        </w:rPr>
      </w:r>
    </w:p>
    <w:p>
      <w:pPr>
        <w:pStyle w:val="Normal"/>
        <w:shd w:val="clear" w:color="auto" w:fill="8DB3E2" w:themeFill="text2" w:themeFillTint="66"/>
        <w:rPr>
          <w:b/>
          <w:bCs/>
        </w:rPr>
      </w:pPr>
      <w:r>
        <w:rPr>
          <w:b/>
          <w:bCs/>
        </w:rPr>
        <w:t>4.4 Oblast zajišťování kvality a akreditací</w:t>
      </w:r>
    </w:p>
    <w:p>
      <w:pPr>
        <w:pStyle w:val="Normal"/>
        <w:spacing w:before="0" w:after="160"/>
        <w:jc w:val="both"/>
        <w:rPr>
          <w:rFonts w:cs="Arial"/>
          <w:b/>
          <w:bCs/>
          <w:kern w:val="2"/>
          <w:sz w:val="22"/>
          <w:szCs w:val="22"/>
          <w14:ligatures w14:val="standardContextual"/>
        </w:rPr>
      </w:pPr>
      <w:r>
        <w:rPr>
          <w:rFonts w:cs="Arial"/>
          <w:b/>
          <w:bCs/>
          <w:kern w:val="2"/>
          <w:sz w:val="22"/>
          <w:szCs w:val="22"/>
          <w14:ligatures w14:val="standardContextual"/>
        </w:rPr>
      </w:r>
    </w:p>
    <w:p>
      <w:pPr>
        <w:pStyle w:val="Normal"/>
        <w:spacing w:before="0" w:after="160"/>
        <w:jc w:val="both"/>
        <w:rPr>
          <w:rFonts w:cs="Arial"/>
          <w:kern w:val="2"/>
          <w14:ligatures w14:val="standardContextual"/>
        </w:rPr>
      </w:pPr>
      <w:r>
        <w:rPr>
          <w:rFonts w:cs="Arial"/>
          <w:kern w:val="2"/>
          <w14:ligatures w14:val="standardContextual"/>
        </w:rPr>
        <w:t>Cílem nové právní úpravy je:</w:t>
      </w:r>
    </w:p>
    <w:p>
      <w:pPr>
        <w:pStyle w:val="Normal"/>
        <w:numPr>
          <w:ilvl w:val="0"/>
          <w:numId w:val="77"/>
        </w:numPr>
        <w:spacing w:before="0" w:after="160"/>
        <w:jc w:val="both"/>
        <w:rPr>
          <w:rFonts w:cs="Arial"/>
          <w:kern w:val="2"/>
          <w14:ligatures w14:val="standardContextual"/>
        </w:rPr>
      </w:pPr>
      <w:r>
        <w:rPr>
          <w:rFonts w:cs="Arial"/>
          <w:kern w:val="2"/>
          <w14:ligatures w14:val="standardContextual"/>
        </w:rPr>
        <w:t>nastavení souladu právních předpisů s principy obsaženými v aktuálním znění Standardů a směrnic pro zabezpečování kvality v Evropském prostoru vysokoškolského vzdělávání (ESG – The Standards and Guidelines for Quality Assurance in the European Higher Education Area), a to ohledně všech tří částí ESG:</w:t>
      </w:r>
    </w:p>
    <w:p>
      <w:pPr>
        <w:pStyle w:val="ListParagraph"/>
        <w:numPr>
          <w:ilvl w:val="0"/>
          <w:numId w:val="81"/>
        </w:numPr>
        <w:spacing w:before="0" w:after="160"/>
        <w:contextualSpacing/>
        <w:jc w:val="both"/>
        <w:rPr>
          <w:rFonts w:cs="Arial"/>
          <w:kern w:val="2"/>
          <w14:ligatures w14:val="standardContextual"/>
        </w:rPr>
      </w:pPr>
      <w:r>
        <w:rPr>
          <w:rFonts w:cs="Arial"/>
          <w:kern w:val="2"/>
          <w14:ligatures w14:val="standardContextual"/>
        </w:rPr>
        <w:t>standardy pro vnitřní zajišťování kvality na vysokých školách,</w:t>
      </w:r>
    </w:p>
    <w:p>
      <w:pPr>
        <w:pStyle w:val="Normal"/>
        <w:numPr>
          <w:ilvl w:val="1"/>
          <w:numId w:val="78"/>
        </w:numPr>
        <w:spacing w:before="0" w:after="160"/>
        <w:jc w:val="both"/>
        <w:rPr>
          <w:rFonts w:cs="Arial"/>
          <w:kern w:val="2"/>
          <w14:ligatures w14:val="standardContextual"/>
        </w:rPr>
      </w:pPr>
      <w:r>
        <w:rPr>
          <w:rFonts w:cs="Arial"/>
          <w:kern w:val="2"/>
          <w14:ligatures w14:val="standardContextual"/>
        </w:rPr>
        <w:t>standardy pro externí zajišťování kvality,</w:t>
      </w:r>
    </w:p>
    <w:p>
      <w:pPr>
        <w:pStyle w:val="Normal"/>
        <w:numPr>
          <w:ilvl w:val="1"/>
          <w:numId w:val="78"/>
        </w:numPr>
        <w:spacing w:before="0" w:after="160"/>
        <w:jc w:val="both"/>
        <w:rPr>
          <w:rFonts w:cs="Arial"/>
          <w:kern w:val="2"/>
          <w14:ligatures w14:val="standardContextual"/>
        </w:rPr>
      </w:pPr>
      <w:r>
        <w:rPr>
          <w:rFonts w:cs="Arial"/>
          <w:kern w:val="2"/>
          <w14:ligatures w14:val="standardContextual"/>
        </w:rPr>
        <w:t>standardy pro agentury pro zabezpečování kvality a ve vztahu k činnosti Akreditačního úřadu a jeho zapojení do mezinárodních asociací i s principy obsaženými v dokumentu Evropský přístup k zajišťování kvality společných programů (European Approach for Quality Assurance of Joint Programmes),</w:t>
      </w:r>
    </w:p>
    <w:p>
      <w:pPr>
        <w:pStyle w:val="Normal"/>
        <w:numPr>
          <w:ilvl w:val="0"/>
          <w:numId w:val="79"/>
        </w:numPr>
        <w:spacing w:before="0" w:after="160"/>
        <w:jc w:val="both"/>
        <w:rPr>
          <w:rFonts w:cs="Arial"/>
          <w:kern w:val="2"/>
          <w14:ligatures w14:val="standardContextual"/>
        </w:rPr>
      </w:pPr>
      <w:r>
        <w:rPr>
          <w:rFonts w:cs="Arial"/>
          <w:kern w:val="2"/>
          <w14:ligatures w14:val="standardContextual"/>
        </w:rPr>
        <w:t xml:space="preserve">zavedení konceptu institucionálního auditu, </w:t>
      </w:r>
    </w:p>
    <w:p>
      <w:pPr>
        <w:pStyle w:val="Normal"/>
        <w:numPr>
          <w:ilvl w:val="0"/>
          <w:numId w:val="79"/>
        </w:numPr>
        <w:spacing w:before="0" w:after="160"/>
        <w:jc w:val="both"/>
        <w:rPr>
          <w:rFonts w:cs="Arial"/>
          <w:kern w:val="2"/>
          <w14:ligatures w14:val="standardContextual"/>
        </w:rPr>
      </w:pPr>
      <w:r>
        <w:rPr>
          <w:rFonts w:cs="Arial"/>
          <w:kern w:val="2"/>
          <w14:ligatures w14:val="standardContextual"/>
        </w:rPr>
        <w:t>úpravy akreditace jednotlivých studijních programů,</w:t>
      </w:r>
    </w:p>
    <w:p>
      <w:pPr>
        <w:pStyle w:val="Normal"/>
        <w:numPr>
          <w:ilvl w:val="0"/>
          <w:numId w:val="79"/>
        </w:numPr>
        <w:spacing w:before="0" w:after="160"/>
        <w:jc w:val="both"/>
        <w:rPr>
          <w:rFonts w:cs="Arial"/>
          <w:kern w:val="2"/>
          <w14:ligatures w14:val="standardContextual"/>
        </w:rPr>
      </w:pPr>
      <w:r>
        <w:rPr>
          <w:rFonts w:cs="Arial"/>
          <w:kern w:val="2"/>
          <w14:ligatures w14:val="standardContextual"/>
        </w:rPr>
        <w:t>zrušení konceptu institucionální akreditace pro jednotlivé oblasti vzdělávání,</w:t>
      </w:r>
    </w:p>
    <w:p>
      <w:pPr>
        <w:pStyle w:val="Normal"/>
        <w:numPr>
          <w:ilvl w:val="0"/>
          <w:numId w:val="79"/>
        </w:numPr>
        <w:spacing w:before="0" w:after="160"/>
        <w:jc w:val="both"/>
        <w:rPr>
          <w:rFonts w:cs="Arial"/>
          <w:kern w:val="2"/>
          <w14:ligatures w14:val="standardContextual"/>
        </w:rPr>
      </w:pPr>
      <w:r>
        <w:rPr>
          <w:rFonts w:cs="Arial"/>
          <w:kern w:val="2"/>
          <w14:ligatures w14:val="standardContextual"/>
        </w:rPr>
        <w:t xml:space="preserve">zrušení zmocnění ministerstva pro vydání standardů pro akreditace formou nařízení vlády a delegování vydání standardů na Akreditační úřad, </w:t>
      </w:r>
    </w:p>
    <w:p>
      <w:pPr>
        <w:pStyle w:val="Normal"/>
        <w:numPr>
          <w:ilvl w:val="0"/>
          <w:numId w:val="79"/>
        </w:numPr>
        <w:spacing w:before="0" w:after="160"/>
        <w:jc w:val="both"/>
        <w:rPr>
          <w:rFonts w:cs="Arial"/>
          <w:kern w:val="2"/>
          <w14:ligatures w14:val="standardContextual"/>
        </w:rPr>
      </w:pPr>
      <w:r>
        <w:rPr>
          <w:rFonts w:cs="Arial"/>
          <w:kern w:val="2"/>
          <w14:ligatures w14:val="standardContextual"/>
        </w:rPr>
        <w:t>vymezení činností a kompetencí Akreditačního úřadu jakožto národní autority v oblasti akreditací a externího zajišťování kvality ve vysokoškolském vzdělávání, ale i v dalších oblastech souvisejících s hodnocením činností vysokých škol, poplatků za akreditační činnosti a za institucionální audit.</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4.4.1 Institucionální audit</w:t>
      </w:r>
    </w:p>
    <w:p>
      <w:pPr>
        <w:pStyle w:val="Normal"/>
        <w:spacing w:before="0" w:after="160"/>
        <w:jc w:val="both"/>
        <w:rPr>
          <w:rFonts w:cs="Arial"/>
          <w:kern w:val="2"/>
          <w14:ligatures w14:val="standardContextual"/>
        </w:rPr>
      </w:pPr>
      <w:r>
        <w:rPr>
          <w:rFonts w:cs="Arial"/>
          <w:kern w:val="2"/>
          <w14:ligatures w14:val="standardContextual"/>
        </w:rPr>
        <w:t>Nová právní úprava zodpovědnost za zajišťování kvality činností vysoké školy, zejm. té vzdělávací, přenáší na vysoké školy samotné. Vysoká škola je povinna zavést, udržovat a průběžně rozvíjet vnitřní systém zajišťování a hodnocení kvality své vzdělávací, tvůrčí a souvisejících činností. Součástí tohoto systému jsou zejména pravidla, postupy, odpovědnosti a mechanismy umožňující plánování, schvalování, uskutečňování, pravidelné hodnocení a rozvoj studijních programů. Vnitřní systém zajišťování kvality musí být nastaven tak, aby podporoval průběžné zvyšování kvality činností vysoké školy, identifikaci nedostatků a přijímání nápravných opatření a aby umožňoval ověřování souladu činností vysoké školy s požadavky stanovenými zákonem o vysokých školách.</w:t>
      </w:r>
    </w:p>
    <w:p>
      <w:pPr>
        <w:pStyle w:val="Normal"/>
        <w:spacing w:before="0" w:after="160"/>
        <w:jc w:val="both"/>
        <w:rPr>
          <w:rFonts w:cs="Arial"/>
          <w:kern w:val="2"/>
          <w14:ligatures w14:val="standardContextual"/>
        </w:rPr>
      </w:pPr>
      <w:r>
        <w:rPr>
          <w:rFonts w:cs="Arial"/>
          <w:kern w:val="2"/>
          <w14:ligatures w14:val="standardContextual"/>
        </w:rPr>
        <w:t>Akreditační úřad bude v periodických cyklech (v délce maximálně 8 let) provádět institucionální audit jako externí, nezávislé a pravidelné posouzení, zda má vysoká škola funkční, účinný a systematický vnitřní systém zajišťování kvality, který odpovídá principům ESG. V rámci auditu bude Akreditační úřad hodnotit, jak škola plánuje, realizuje, monitoruje a zlepšuje kvalitu vzdělávání a souvisejících činností, jak zapojuje stude</w:t>
      </w:r>
      <w:r>
        <w:rPr>
          <w:rFonts w:eastAsia="MS PGothic" w:cs="Arial"/>
          <w:kern w:val="2"/>
          <w14:ligatures w14:val="standardContextual"/>
        </w:rPr>
        <w:t xml:space="preserve">nty a další zainteresované osoby vysoké školy (akademické pracovníky a další zaměstnance vysoké školy, členy </w:t>
      </w:r>
      <w:r>
        <w:rPr>
          <w:rFonts w:cs="Arial"/>
          <w:kern w:val="2"/>
          <w14:ligatures w14:val="standardContextual"/>
        </w:rPr>
        <w:t>jejích orgánů a orgánů jejích součástí a účastníky celoživotního vzdělávání) a externí zainteresované subjekty (externí odborníky spolupracující s danou vysokou školou a další externí zainteresované osoby nebo orgány, jako jsou jiné vysoké školy, veřejné výzkumné instituce a jiné právnické osoby zabývající se výzkumem, experimentálním vývojem nebo inovacemi, absolventi vysoké školy, zaměstnavatelé absolventů vysokých škol, podnikatelé působící v průmyslové a obchodní sféře, podnikatelské svazy a další osoby nebo orgány vykonávající, podporující nebo využívající vzdělávací nebo tvůrčí činnost vysokých škol nebo její výsledky), jak využívá data a zpětnou vazbu a je zajištěna transparentnost a odpovědnost. Cílem auditu není hodnotit obsah studijních programů nebo akademické výsledky, ale ověřit, zda procesy kvality a řízení na vysoké škole fungují, jsou účinné a podporují dlouhodobé zlepšování. Tento princip je zcela v souladu s navrhovanými změnami v oblasti řízení vysokých škol a jejich vyšší mírou autonomie a tím i odpovědnosti za vlastní činnosti.</w:t>
      </w:r>
    </w:p>
    <w:p>
      <w:pPr>
        <w:pStyle w:val="Normal"/>
        <w:spacing w:before="0" w:after="160"/>
        <w:jc w:val="both"/>
        <w:rPr>
          <w:rFonts w:cs="Arial"/>
          <w:kern w:val="2"/>
          <w14:ligatures w14:val="standardContextual"/>
        </w:rPr>
      </w:pPr>
      <w:r>
        <w:rPr>
          <w:rFonts w:cs="Arial"/>
          <w:kern w:val="2"/>
          <w14:ligatures w14:val="standardContextual"/>
        </w:rPr>
        <w:t xml:space="preserve">Výstupem institucionálního auditu není správní rozhodnutí (o akreditaci), ale evaluační zpráva, doporučení pro zlepšení a stanovení lhůty pro další institucionální audit. V souladu se zahraniční praxí bude umožněno, aby vysoká škola podstoupila institucionální audit u agentury ze státu EU registrované v EQAR, a to na své náklady. </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4.4.2 Akreditace studijních programů a definice nového studijního programu</w:t>
      </w:r>
    </w:p>
    <w:p>
      <w:pPr>
        <w:pStyle w:val="Normal"/>
        <w:spacing w:before="0" w:after="160"/>
        <w:jc w:val="both"/>
        <w:rPr>
          <w:rFonts w:eastAsia="Aptos" w:cs="Arial"/>
          <w:color w:val="545860"/>
          <w:kern w:val="2"/>
          <w14:ligatures w14:val="standardContextual"/>
        </w:rPr>
      </w:pPr>
      <w:r>
        <w:rPr>
          <w:rFonts w:cs="Arial"/>
          <w:kern w:val="2"/>
          <w14:ligatures w14:val="standardContextual"/>
        </w:rPr>
        <w:t xml:space="preserve"> </w:t>
      </w:r>
      <w:r>
        <w:rPr>
          <w:rFonts w:cs="Arial"/>
          <w:kern w:val="2"/>
          <w14:ligatures w14:val="standardContextual"/>
        </w:rPr>
        <w:t>Akreditaci studijního programu udělované Akreditačním úřadem podléhají níže definované nové</w:t>
      </w:r>
      <w:r>
        <w:rPr>
          <w:rFonts w:cs="Arial"/>
          <w:i/>
          <w:kern w:val="2"/>
          <w14:ligatures w14:val="standardContextual"/>
        </w:rPr>
        <w:t xml:space="preserve"> </w:t>
      </w:r>
      <w:r>
        <w:rPr>
          <w:rFonts w:cs="Arial"/>
          <w:kern w:val="2"/>
          <w14:ligatures w14:val="standardContextual"/>
        </w:rPr>
        <w:t>studijní programy na dané vysoké škole.</w:t>
      </w:r>
      <w:r>
        <w:rPr>
          <w:rFonts w:eastAsia="Aptos" w:cs="Arial"/>
          <w:b/>
          <w:color w:val="545860"/>
          <w:kern w:val="2"/>
          <w14:ligatures w14:val="standardContextual"/>
        </w:rPr>
        <w:t xml:space="preserve"> </w:t>
      </w:r>
    </w:p>
    <w:p>
      <w:pPr>
        <w:pStyle w:val="Normal"/>
        <w:spacing w:before="0" w:after="160"/>
        <w:jc w:val="both"/>
        <w:rPr>
          <w:rFonts w:cs="Arial"/>
          <w:kern w:val="2"/>
          <w14:ligatures w14:val="standardContextual"/>
        </w:rPr>
      </w:pPr>
      <w:r>
        <w:rPr>
          <w:rFonts w:cs="Arial"/>
          <w:kern w:val="2"/>
          <w14:ligatures w14:val="standardContextual"/>
        </w:rPr>
        <w:t>Studijní program je považován za nový, je-li splněna alespoň jedna z těchto tří podmínek:</w:t>
      </w:r>
    </w:p>
    <w:p>
      <w:pPr>
        <w:pStyle w:val="Normal"/>
        <w:numPr>
          <w:ilvl w:val="0"/>
          <w:numId w:val="80"/>
        </w:numPr>
        <w:spacing w:before="0" w:after="160"/>
        <w:jc w:val="both"/>
        <w:rPr>
          <w:rFonts w:cs="Arial"/>
          <w:color w:val="000000"/>
          <w:kern w:val="2"/>
          <w14:ligatures w14:val="standardContextual"/>
        </w:rPr>
      </w:pPr>
      <w:r>
        <w:rPr>
          <w:rFonts w:cs="Arial"/>
          <w:kern w:val="2"/>
          <w14:ligatures w14:val="standardContextual"/>
        </w:rPr>
        <w:t>Program je zaměřen na přípravu k výkonu regulovaného povolání nebo činnosti a vysoká škola nemá akreditovaný žádný studijní program zaměřený na přípravu k výkonu tohoto regulovaného povolání nebo činnosti</w:t>
      </w:r>
      <w:r>
        <w:rPr>
          <w:rFonts w:cs="Arial"/>
          <w:color w:val="000000"/>
          <w:kern w:val="2"/>
          <w14:ligatures w14:val="standardContextual"/>
        </w:rPr>
        <w:t>, popřípadě jde o některý ze studijních programů, které musí být podle jiného právního předpisu vždy akreditovány Akreditačním úřadem. K akreditaci studijních programů zaměřených na oblast bezpečnosti se vždy musí vyjádřit Ministerstvo vnitra nebo Ministerstvo obrany dle charakteru studijního programu. K akreditaci studijních programů připravujících k výkonu regulované profese se vždy musí vyjádřit regulátor dle příslušné legislativy. Regulátor ve svých legislativních předpisech může stanovit dobu platnosti vydaného souhlasu ke konkrétnímu studijnímu programu.</w:t>
      </w:r>
    </w:p>
    <w:p>
      <w:pPr>
        <w:pStyle w:val="Normal"/>
        <w:numPr>
          <w:ilvl w:val="0"/>
          <w:numId w:val="80"/>
        </w:numPr>
        <w:spacing w:before="0" w:after="160"/>
        <w:jc w:val="both"/>
        <w:rPr>
          <w:rFonts w:cs="Arial"/>
          <w:kern w:val="2"/>
          <w14:ligatures w14:val="standardContextual"/>
        </w:rPr>
      </w:pPr>
      <w:r>
        <w:rPr>
          <w:rFonts w:cs="Arial"/>
          <w:kern w:val="2"/>
          <w14:ligatures w14:val="standardContextual"/>
        </w:rPr>
        <w:t>Jedná se o typ studijního programu, který vysoká škola nemá akreditovaný (bakalářský, magisterský, doktorský).</w:t>
      </w:r>
    </w:p>
    <w:p>
      <w:pPr>
        <w:pStyle w:val="Normal"/>
        <w:numPr>
          <w:ilvl w:val="0"/>
          <w:numId w:val="80"/>
        </w:numPr>
        <w:spacing w:before="0" w:after="160"/>
        <w:jc w:val="both"/>
        <w:rPr>
          <w:rFonts w:cs="Arial"/>
          <w:kern w:val="2"/>
          <w14:ligatures w14:val="standardContextual"/>
        </w:rPr>
      </w:pPr>
      <w:r>
        <w:rPr>
          <w:rFonts w:cs="Arial"/>
          <w:kern w:val="2"/>
          <w14:ligatures w14:val="standardContextual"/>
        </w:rPr>
        <w:t xml:space="preserve">Profil absolventa studijního programu vyjádřený výsledky učení dosahovanými absolvováním studia vykazuje výrazné odlišnosti od profilu absolventa studijních programů stejného typu, které již vysoká škola má akreditovány. Při posouzení odlišnosti se přihlíží rovněž k výčtu charakteristických profesí, ke kterým studijní program připravuje absolventy, k cílům studia ve studijním programu a obsahu studia určenému nabídkou studijních předmětů. </w:t>
      </w:r>
    </w:p>
    <w:p>
      <w:pPr>
        <w:pStyle w:val="Normal"/>
        <w:spacing w:before="0" w:after="160"/>
        <w:jc w:val="both"/>
        <w:rPr>
          <w:rFonts w:cs="Arial"/>
          <w:kern w:val="2"/>
          <w14:ligatures w14:val="standardContextual"/>
        </w:rPr>
      </w:pPr>
      <w:r>
        <w:rPr>
          <w:rFonts w:cs="Arial"/>
          <w:kern w:val="2"/>
          <w14:ligatures w14:val="standardContextual"/>
        </w:rPr>
        <w:t xml:space="preserve">Při posuzování odlišností profilu absolventa studijního programu podle bodu 3 se přihlíží k odlišnostem v odborných znalostech, odborných dovednostech a obecných způsobilostech, které má absolvent studijního programu získat. Sleduje se odlišnost ve znalosti teorií, oborových konceptů a metod a v dovednostech řešit oborové problémy. </w:t>
      </w:r>
    </w:p>
    <w:p>
      <w:pPr>
        <w:pStyle w:val="Normal"/>
        <w:spacing w:before="0" w:after="160"/>
        <w:jc w:val="both"/>
        <w:rPr>
          <w:rFonts w:cs="Arial"/>
          <w:kern w:val="2"/>
          <w14:ligatures w14:val="standardContextual"/>
        </w:rPr>
      </w:pPr>
      <w:r>
        <w:rPr>
          <w:rFonts w:cs="Arial"/>
          <w:kern w:val="2"/>
          <w14:ligatures w14:val="standardContextual"/>
        </w:rPr>
        <w:t xml:space="preserve">Akreditace studijních programů jsou udělovány na dobu neurčitou; schvalování nepodstatných změn akreditovaných studijních programů, příprava a schvalování odvozených studijních programů (studijních programů, které nejsou na dané vysoké škole považovány za nové a nepodléhají akreditaci, u nichž je oprávnění vysoké školy k jejich schvalování a  uskutečňování odvozeno od platné a neomezené akreditace některého jiného (nového) studijního programu), a průběžné sledování  kvality je v kompetenci dané vysoké školy a  součástí interního systému zajišťování kvality. </w:t>
      </w:r>
    </w:p>
    <w:p>
      <w:pPr>
        <w:pStyle w:val="Normal"/>
        <w:spacing w:before="0" w:after="160"/>
        <w:jc w:val="both"/>
        <w:rPr>
          <w:rFonts w:cs="Arial"/>
          <w:b/>
          <w:kern w:val="2"/>
          <w14:ligatures w14:val="standardContextual"/>
        </w:rPr>
      </w:pPr>
      <w:r>
        <w:rPr>
          <w:rFonts w:cs="Arial"/>
          <w:kern w:val="2"/>
          <w14:ligatures w14:val="standardContextual"/>
        </w:rPr>
        <w:t>Vysoká škola vykonává samosprávnou působnost v oblasti schvalování studijních programů, jejíž výkon je podmíněn úspěšným institucionálním auditem. Nejsou-li splněny podmínky, může být tato působnost omezena nebo odňata. Akreditace studijního programu se uděluje na dobu neurčitou (v rámci nápravných opatření ale Akreditační úřad může mimo jiné dobu platnosti akreditace omezit na dobu určitou nebo akreditaci odejmout).</w:t>
      </w:r>
    </w:p>
    <w:p>
      <w:pPr>
        <w:pStyle w:val="Normal"/>
        <w:spacing w:before="0" w:after="160"/>
        <w:jc w:val="both"/>
        <w:rPr>
          <w:rFonts w:cs="Arial"/>
          <w:b/>
          <w:kern w:val="2"/>
          <w14:ligatures w14:val="standardContextual"/>
        </w:rPr>
      </w:pPr>
      <w:r>
        <w:rPr>
          <w:rFonts w:cs="Arial"/>
          <w:kern w:val="2"/>
          <w14:ligatures w14:val="standardContextual"/>
        </w:rPr>
        <w:t>Způsob schvalování odvozených studijních programů a jejich změn, schvalování záměrů podat žádost o akreditaci nového studijního programu a schvalování změn akreditovaných studijních programů si vysoká škol stanoví ve svých vnitřních předpisech. Bude zachován systém informování Akreditačního úřadu nebo ministerstva o studijních programech pro účely evidence.</w:t>
      </w:r>
    </w:p>
    <w:p>
      <w:pPr>
        <w:pStyle w:val="Normal"/>
        <w:spacing w:before="0" w:after="160"/>
        <w:jc w:val="both"/>
        <w:rPr>
          <w:rFonts w:cs="Arial"/>
          <w:kern w:val="2"/>
          <w14:ligatures w14:val="standardContextual"/>
        </w:rPr>
      </w:pPr>
      <w:r>
        <w:rPr>
          <w:rFonts w:cs="Arial"/>
          <w:kern w:val="2"/>
          <w14:ligatures w14:val="standardContextual"/>
        </w:rPr>
        <w:t xml:space="preserve"> </w:t>
      </w:r>
      <w:r>
        <w:rPr>
          <w:rFonts w:cs="Arial"/>
          <w:kern w:val="2"/>
          <w14:ligatures w14:val="standardContextual"/>
        </w:rPr>
        <w:t>Pro případ studijních programů, u nichž by vysoká škola měla pochybnost, zda jde o nový studijní program vyžadující udělení akreditace od Akreditačního úřadu, nebo o studijní program odvozený, bude zákon upravovat možnost konzultace s Akreditačním úřadem, který na žádost vysoké školy jako „předběžnou otázku“ posoudí, jestli jde o nový anebo odvozený studijní program.</w:t>
      </w:r>
    </w:p>
    <w:p>
      <w:pPr>
        <w:pStyle w:val="Normal"/>
        <w:keepNext w:val="true"/>
        <w:keepLines/>
        <w:numPr>
          <w:ilvl w:val="0"/>
          <w:numId w:val="0"/>
        </w:numPr>
        <w:suppressAutoHyphens w:val="true"/>
        <w:spacing w:before="320" w:after="160"/>
        <w:outlineLvl w:val="4"/>
        <w:rPr>
          <w:rFonts w:eastAsia="MS PGothic" w:cs="Arial"/>
          <w:b/>
          <w:bCs/>
          <w:color w:val="545860"/>
          <w:kern w:val="2"/>
          <w14:ligatures w14:val="standardContextual"/>
        </w:rPr>
      </w:pPr>
      <w:r>
        <w:rPr>
          <w:rFonts w:eastAsia="MS PGothic" w:cs="Arial"/>
          <w:b/>
          <w:bCs/>
          <w:kern w:val="2"/>
          <w14:ligatures w14:val="standardContextual"/>
        </w:rPr>
        <w:t>4.4.3 Nápravná opatření při neplnění stanovených podmínek při uskutečňování studijních programů</w:t>
      </w:r>
    </w:p>
    <w:p>
      <w:pPr>
        <w:pStyle w:val="Normal"/>
        <w:spacing w:before="0" w:after="160"/>
        <w:jc w:val="both"/>
        <w:rPr>
          <w:rFonts w:cs="Arial"/>
          <w:kern w:val="2"/>
          <w14:ligatures w14:val="standardContextual"/>
        </w:rPr>
      </w:pPr>
      <w:r>
        <w:rPr>
          <w:rFonts w:cs="Arial"/>
          <w:kern w:val="2"/>
          <w14:ligatures w14:val="standardContextual"/>
        </w:rPr>
        <w:t>V případě, že Akreditační úřad zjistí nedostatky při uskutečňování studijního programu, může podle povahy věci nebo zjištěných nedostatků mimo jiné:</w:t>
      </w:r>
    </w:p>
    <w:p>
      <w:pPr>
        <w:pStyle w:val="Normal"/>
        <w:spacing w:before="0" w:after="160"/>
        <w:ind w:start="720"/>
        <w:jc w:val="both"/>
        <w:rPr>
          <w:rFonts w:cs="Arial"/>
          <w:kern w:val="2"/>
          <w14:ligatures w14:val="standardContextual"/>
        </w:rPr>
      </w:pPr>
      <w:r>
        <w:rPr>
          <w:rFonts w:cs="Arial"/>
          <w:kern w:val="2"/>
          <w14:ligatures w14:val="standardContextual"/>
        </w:rPr>
        <w:t>a) uložit vysoké škole, aby v přiměřené lhůtě zjednala nápravu,</w:t>
      </w:r>
    </w:p>
    <w:p>
      <w:pPr>
        <w:pStyle w:val="Normal"/>
        <w:spacing w:before="0" w:after="160"/>
        <w:ind w:start="720"/>
        <w:jc w:val="both"/>
        <w:rPr>
          <w:rFonts w:cs="Arial"/>
          <w:kern w:val="2"/>
          <w14:ligatures w14:val="standardContextual"/>
        </w:rPr>
      </w:pPr>
      <w:r>
        <w:rPr>
          <w:rFonts w:cs="Arial"/>
          <w:kern w:val="2"/>
          <w14:ligatures w14:val="standardContextual"/>
        </w:rPr>
        <w:t xml:space="preserve">b) změnit rozhodnutím dobu platnosti akreditace akreditovaného studijního programu nebo akreditovaných studijních programů dané vysoké školy (udělované na dobu neurčitou) na dobu určitou, jejíž délka však nebude činit méně než dva roky ode dne nabytí účinnosti rozhodnutí Akreditačního úřadu o změně doby platnosti akreditace). Akreditační úřad může rovněž časově omezit oprávnění vysoké školy uskutečňovat odvozený studijní program nebo programy, přičemž zkrácená doba existence oprávnění uskutečňovat odvozený studijní program nebo programy musí činit alespoň dva roky ode dne nabytí účinnosti takového rozhodnutí Akreditačního úřadu, </w:t>
      </w:r>
    </w:p>
    <w:p>
      <w:pPr>
        <w:pStyle w:val="Normal"/>
        <w:spacing w:before="0" w:after="160"/>
        <w:ind w:start="720"/>
        <w:jc w:val="both"/>
        <w:rPr>
          <w:rFonts w:cs="Arial"/>
          <w:kern w:val="2"/>
          <w14:ligatures w14:val="standardContextual"/>
        </w:rPr>
      </w:pPr>
      <w:r>
        <w:rPr>
          <w:rFonts w:cs="Arial"/>
          <w:kern w:val="2"/>
          <w14:ligatures w14:val="standardContextual"/>
        </w:rPr>
        <w:t xml:space="preserve">c) rozhodnout v případě studijního programu či programů, v jejichž uskutečňování byly zjištěny nedostatky, o omezení akreditace akreditovaného studijního programu nebo omezení oprávnění uskutečňovat odvozený studijní program nebo programy spočívajícím v zákazu přijímat ke studiu daného studijního programu nebo daných studijních programů další uchazeče nebo </w:t>
      </w:r>
    </w:p>
    <w:p>
      <w:pPr>
        <w:pStyle w:val="Normal"/>
        <w:spacing w:before="0" w:after="160"/>
        <w:ind w:start="720"/>
        <w:jc w:val="both"/>
        <w:rPr>
          <w:rFonts w:cs="Arial"/>
          <w:kern w:val="2"/>
          <w14:ligatures w14:val="standardContextual"/>
        </w:rPr>
      </w:pPr>
      <w:r>
        <w:rPr>
          <w:rFonts w:cs="Arial"/>
          <w:kern w:val="2"/>
          <w14:ligatures w14:val="standardContextual"/>
        </w:rPr>
        <w:t>d) rozhodnout v případě studijního programu nebo programů, v jejichž uskutečňování byly zjištěny závažné nedostatky, o odnětí akreditace akreditovaného studijního programu nebo odnětí oprávnění uskutečňovat odvozený studijní program nebo programy.</w:t>
      </w:r>
    </w:p>
    <w:p>
      <w:pPr>
        <w:pStyle w:val="Normal"/>
        <w:spacing w:before="0" w:after="160"/>
        <w:jc w:val="both"/>
        <w:rPr>
          <w:rFonts w:cs="Arial"/>
          <w:color w:val="545860"/>
          <w:kern w:val="2"/>
          <w:sz w:val="26"/>
          <w:szCs w:val="26"/>
          <w14:ligatures w14:val="standardContextual"/>
        </w:rPr>
      </w:pPr>
      <w:r>
        <w:rPr>
          <w:rFonts w:cs="Arial"/>
          <w:kern w:val="2"/>
          <w14:ligatures w14:val="standardContextual"/>
        </w:rPr>
        <w:t xml:space="preserve">Rozhodnutí o nápravných opatřeních výše uvedených v písmenech b) až d) může Akreditační úřad přijmout i v případě, že zjištěné nedostatky, u kterých vysoké škole uložil zjednání nápravy, nebyly ve stanovené lhůtě po výzvě Akreditačního úřadu odstraněny, nebo v případě, že vysoká škola neposkytla Akreditačnímu úřadu součinnost nezbytnou pro výkon jeho působnosti. </w:t>
      </w:r>
    </w:p>
    <w:p>
      <w:pPr>
        <w:pStyle w:val="Normal"/>
        <w:spacing w:before="0" w:after="160"/>
        <w:jc w:val="both"/>
        <w:rPr>
          <w:rFonts w:cs="Arial"/>
          <w:kern w:val="2"/>
          <w14:ligatures w14:val="standardContextual"/>
        </w:rPr>
      </w:pPr>
      <w:r>
        <w:rPr>
          <w:rFonts w:cs="Arial"/>
          <w:kern w:val="2"/>
          <w14:ligatures w14:val="standardContextual"/>
        </w:rPr>
        <w:t>Dále je může Akreditační úřad rozhodnutím přijmout i v případě, shledá-li, že vysoká škola uvedla v řízení ve věci akreditace studijního programu nebo programů nesprávné údaje rozhodné pro akreditaci a že ke dni vydání rozhodnutí nebyly tyto vady odstraněny.</w:t>
      </w:r>
    </w:p>
    <w:p>
      <w:pPr>
        <w:pStyle w:val="Normal"/>
        <w:spacing w:before="0" w:after="160"/>
        <w:jc w:val="both"/>
        <w:rPr>
          <w:rFonts w:cs="Arial"/>
          <w:kern w:val="2"/>
          <w14:ligatures w14:val="standardContextual"/>
        </w:rPr>
      </w:pPr>
      <w:r>
        <w:rPr>
          <w:rFonts w:cs="Arial"/>
          <w:kern w:val="2"/>
          <w14:ligatures w14:val="standardContextual"/>
        </w:rPr>
        <w:t>Pominou-li důvody, pro které bylo přijato nápravné opatření podle písmene b) nebo c), Akreditační úřad přijaté opatření zruší.</w:t>
      </w:r>
    </w:p>
    <w:p>
      <w:pPr>
        <w:pStyle w:val="Normal"/>
        <w:spacing w:before="0" w:after="160"/>
        <w:jc w:val="both"/>
        <w:rPr>
          <w:rFonts w:cs="Arial"/>
          <w:kern w:val="2"/>
          <w14:ligatures w14:val="standardContextual"/>
        </w:rPr>
      </w:pPr>
      <w:r>
        <w:rPr>
          <w:rFonts w:cs="Arial"/>
          <w:kern w:val="2"/>
          <w14:ligatures w14:val="standardContextual"/>
        </w:rPr>
        <w:t xml:space="preserve">Nápravná opatření na základě skutečností zjištěných na vysoké škole Akreditačním úřadem v rámci institucionálního auditu (nebo při kontrole nebo další činnosti Akreditačního úřadu)  </w:t>
      </w:r>
    </w:p>
    <w:p>
      <w:pPr>
        <w:pStyle w:val="Normal"/>
        <w:spacing w:before="0" w:after="160"/>
        <w:ind w:start="720"/>
        <w:jc w:val="both"/>
        <w:rPr>
          <w:rFonts w:cs="Arial"/>
          <w:kern w:val="2"/>
          <w14:ligatures w14:val="standardContextual"/>
        </w:rPr>
      </w:pPr>
      <w:r>
        <w:rPr>
          <w:rFonts w:cs="Arial"/>
          <w:kern w:val="2"/>
          <w14:ligatures w14:val="standardContextual"/>
        </w:rPr>
        <w:t xml:space="preserve">e) Zjistí-li Akreditační úřad v rámci institucionálního auditu nedostatky v institucionálním prostředí a vnitřním systému zabezpečování a hodnocení kvality nebo v uskutečňování vzdělávací, tvůrčí a s nimi souvisejících činností vysoké školy, vyzve vysokou školu k nápravě těchto nedostatků. Zároveň může ohledně akreditovaných nebo odvozených studijních programů vysoké školy rozhodnout o přijetí nápravných opatření uvedených výše v písmenu b) (změnit dobu platnosti akreditace akreditovaných studijních programů nebo časově omezit oprávnění uskutečňovat odvozené studijní programy). </w:t>
      </w:r>
    </w:p>
    <w:p>
      <w:pPr>
        <w:pStyle w:val="Normal"/>
        <w:spacing w:before="0" w:after="160"/>
        <w:ind w:start="720"/>
        <w:jc w:val="both"/>
        <w:rPr>
          <w:rFonts w:cs="Arial"/>
          <w:kern w:val="2"/>
          <w14:ligatures w14:val="standardContextual"/>
        </w:rPr>
      </w:pPr>
      <w:r>
        <w:rPr>
          <w:rFonts w:cs="Arial"/>
          <w:kern w:val="2"/>
          <w14:ligatures w14:val="standardContextual"/>
        </w:rPr>
        <w:t xml:space="preserve">f) Zjistí-li Akreditační úřad v rámci institucionálního auditu nedostatky v institucionálním prostředí a vnitřním systému zabezpečování a hodnocení kvality nebo v uskutečňování vzdělávací a tvůrčí činnosti vysoké školy a zároveň takové nedostatky v uskutečňování studijních programů, které jsou v rozporu se standardy pro studijní programy, přičemž vysoká škola je nebyla schopna identifikovat či řešit, rozhodne podle povahy věci ohledně všech akreditovaných nebo odvozených studijních programů vysoké školy nebo jen ohledně některých z nich o přijetí jednoho nebo více nápravných opatření uvedených výše v písmenech b) až d).(Akreditační úřad může změnit dobu platnosti akreditace akreditovaných studijních programů nebo časově omezit oprávnění uskutečňovat odvozené studijní programy, zakázat přijímání nových uchazečů nebo odejmout akreditaci akreditovaných studijních programů nebo oprávnění uskutečňovat odvozené studijní programy). </w:t>
      </w:r>
    </w:p>
    <w:p>
      <w:pPr>
        <w:pStyle w:val="Normal"/>
        <w:spacing w:before="0" w:after="160"/>
        <w:ind w:start="720"/>
        <w:jc w:val="both"/>
        <w:rPr>
          <w:rFonts w:cs="Arial"/>
          <w:kern w:val="2"/>
          <w14:ligatures w14:val="standardContextual"/>
        </w:rPr>
      </w:pPr>
      <w:r>
        <w:rPr>
          <w:rFonts w:cs="Arial"/>
          <w:kern w:val="2"/>
          <w14:ligatures w14:val="standardContextual"/>
        </w:rPr>
        <w:t xml:space="preserve">g) Zjistí-li Akreditační úřad, že vysoká škola nemá zaveden vnitřní systém zabezpečování a hodnocení kvality nebo že tento systém není aplikován nebo že institucionální prostředí a systém zabezpečování a hodnocení kvality vykazují natolik závažné nedostatky, které brání řádnému uskutečňování vzdělávací, tvůrčí a s nimi souvisejících činností, nebo že systém nebyl natolik funkční, aby dokázal identifikovat dlouhodobé nedostatky spočívající v uskutečňování studijních programů v rozporu se standardy pro studijní programy, rozhodne ve vztahu k některým nebo všem akreditovaným nebo odvozeným studijním programům vysoké školy o přijetí nápravných opatření uvedených výše v písmenu d) (o odnětí akreditace akreditovaných studijních programů nebo o odnětí oprávnění uskutečňovat odvozené studijní programy).  </w:t>
      </w:r>
    </w:p>
    <w:p>
      <w:pPr>
        <w:pStyle w:val="Normal"/>
        <w:spacing w:before="0" w:after="160"/>
        <w:ind w:start="720"/>
        <w:jc w:val="both"/>
        <w:rPr>
          <w:rFonts w:cs="Arial"/>
          <w:kern w:val="2"/>
          <w14:ligatures w14:val="standardContextual"/>
        </w:rPr>
      </w:pPr>
      <w:r>
        <w:rPr>
          <w:rFonts w:cs="Arial"/>
          <w:kern w:val="2"/>
          <w14:ligatures w14:val="standardContextual"/>
        </w:rPr>
        <w:t>h) Akreditační úřad může o nápravných opatřeních podle písmene d) (o odnětí akreditace akreditovaných studijních programů nebo o odnětí oprávnění uskutečňovat odvozené studijní programy) rozhodnout též v případě, že zjistí, že v žádosti o institucionální audit nebo v průběhu auditu byly vysokou školou uvedeny nepravdivé údaje rozhodné pro posouzení institucionálního prostředí a vnitřního systému zabezpečování a hodnocení kvality nebo uskutečňování vzdělávací, tvůrčí a s nimi souvisejících činností ve studijních programech.</w:t>
      </w:r>
    </w:p>
    <w:p>
      <w:pPr>
        <w:pStyle w:val="Normal"/>
        <w:spacing w:before="0" w:after="160"/>
        <w:jc w:val="both"/>
        <w:rPr>
          <w:rFonts w:cs="Arial"/>
          <w:kern w:val="2"/>
          <w14:ligatures w14:val="standardContextual"/>
        </w:rPr>
      </w:pPr>
      <w:r>
        <w:rPr>
          <w:rFonts w:cs="Arial"/>
          <w:kern w:val="2"/>
          <w14:ligatures w14:val="standardContextual"/>
        </w:rPr>
        <w:t xml:space="preserve">Ministerstvo může na základě podnětu Akreditačního úřadu obecně plošně (bez určení konkrétních studijních programů) omezit nebo zakázat (odejmout) vysoké škole výkon samosprávné působnosti vysoké školy spočívající v oprávnění schvalovat a uskutečňovat odvozené studijní programy, zejména pokud vysoká škola nezjednala nápravu nedostatků, k níž byla vyzvána Akreditačním úřadem. </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4.4.4 Evropský přístup k zajišťování kvality společných studijních programů</w:t>
      </w:r>
    </w:p>
    <w:p>
      <w:pPr>
        <w:pStyle w:val="Normal"/>
        <w:spacing w:before="0" w:after="160"/>
        <w:jc w:val="both"/>
        <w:rPr>
          <w:rFonts w:cs="Arial"/>
          <w:kern w:val="2"/>
          <w14:ligatures w14:val="standardContextual"/>
        </w:rPr>
      </w:pPr>
      <w:r>
        <w:rPr>
          <w:rFonts w:cs="Arial"/>
          <w:kern w:val="2"/>
          <w14:ligatures w14:val="standardContextual"/>
        </w:rPr>
        <w:t xml:space="preserve">Nový zákon o vysokých školách umožní vysokým školám v případě řízení ve věcech akreditace joint degree programu (společného studijního programu) uskutečňovaného společně alespoň jednou českou vysokou školou a alespoň jednou zahraniční vysokou školou ze státu Evropského prostoru vysokoškolského vzdělávání (EHEA)  a vedoucího ke dvojím nebo vícenásobným akademickým titulům nebo ke společnému akademickému titulu využít  pravidel a standardů uvedených v dokumentu Evropský přístup k zajišťování kvality společných programů </w:t>
      </w:r>
      <w:r>
        <w:rPr>
          <w:rFonts w:cs="Arial"/>
          <w:color w:val="545860"/>
          <w:kern w:val="2"/>
          <w14:ligatures w14:val="standardContextual"/>
        </w:rPr>
        <w:t>(</w:t>
      </w:r>
      <w:r>
        <w:rPr>
          <w:rFonts w:cs="Arial"/>
          <w:kern w:val="2"/>
          <w14:ligatures w14:val="standardContextual"/>
        </w:rPr>
        <w:t xml:space="preserve">European Approach for Quality Assurance of Joint Programmes), přijatém ministry školství zemí Evropského prostoru vysokoškolského vzdělávání v květnu 2015  a zveřejněném na webové adrese </w:t>
      </w:r>
      <w:hyperlink r:id="rId2">
        <w:r>
          <w:rPr>
            <w:rStyle w:val="Style"/>
            <w:rFonts w:cs="Arial"/>
            <w:color w:val="00459B"/>
            <w:kern w:val="2"/>
            <w:u w:val="single"/>
            <w14:ligatures w14:val="standardContextual"/>
          </w:rPr>
          <w:t>https://www.eqar.eu/kb/joint-programmes/</w:t>
        </w:r>
      </w:hyperlink>
      <w:r>
        <w:rPr>
          <w:rFonts w:cs="Arial"/>
          <w:kern w:val="2"/>
          <w14:ligatures w14:val="standardContextual"/>
        </w:rPr>
        <w:t xml:space="preserve">, popřípadě v jeho aktualizovaném znění, (dále také “Dokument EA”), jehož cílem je odstranění duplikace či multiplikace akreditačních procedur společných programů v jednotlivých státech jejich uskutečňování. V případě společného programu by mělo být pro účely akreditace provedeno jen jedno hodnocení podle Dokumentu EA provedené mezinárodním expertním panelem. Následný závěr k akreditaci, který učiní akreditační agentura provádějící tuto proceduru (a to výhradně agentura z členského státu Evropské unie registrovaná v EQAR), by měl být akceptován pro účely akreditace a řízení ve věcech akreditace v jednotlivých státech uskutečňování společného programu bez opakování odborného hodnocení podle národních akreditačních standardů. </w:t>
      </w:r>
    </w:p>
    <w:p>
      <w:pPr>
        <w:pStyle w:val="Normal"/>
        <w:spacing w:before="0" w:after="160"/>
        <w:jc w:val="both"/>
        <w:rPr>
          <w:rFonts w:cs="Arial"/>
          <w:kern w:val="2"/>
          <w14:ligatures w14:val="standardContextual"/>
        </w:rPr>
      </w:pPr>
      <w:r>
        <w:rPr>
          <w:rFonts w:cs="Arial"/>
          <w:kern w:val="2"/>
          <w14:ligatures w14:val="standardContextual"/>
        </w:rPr>
        <w:t>Akreditační úřad může rozhodnout o akreditaci společného programu na základě kladného výsledku hodnocení nebo rozhodnutí o akreditaci vydaného v zahraničí v proceduře podle Dokumentu EA na dobu zakotvenou v Dokumentu EA (tj. na dobu kratší než 10 let, aktuálně na dobu 6 let). V návaznosti na zápis do registru EQAR bude Akreditační úřad oprávněn provádět procedury podle Dokumentu EA. V rozsahu nezbytném pro posouzení společného studijního programu může Akreditační úřad hodnotit také zapojení a zabezpečení u zahraničních vysokých škol účastnících se konsorcia či jiné formy spolupráce při uskutečňování společného programu. Výsledkem hodnotící procedury bude písemný výstup z činnosti hodnoticí komise, který posoudí naplnění standardů zakotvených v Dokumentu EA a na jehož základě Akreditační úřad rozhodne o akreditaci daného společného programu. Za tímto účelem může Akreditační úřad vykonat proceduru postupem stanoveným v Dokumentu EA i s jeho odlišnostmi od zákona o vysokých školách, zejm. jmenovat do hodnoticí komise i osoby splňující požadavky podle Dokumentu EA, které nejsou zapsané do Seznamu hodnotitelů (typicky zahraniční experty), pokud bude Seznam existovat, a rozhodnout o případné námitce vysoké školy vůči navrženému členu hodnoticí komise (namísto práva veta žadatele u tuzemských akreditací). Zákon, upraví, zda a jakým způsobem může být rozhodnutí Akreditačního úřadu vztaženo ke společnému programu uskutečňovanému mezinárodním konsorciem vysokých škol, nikoli pouze k české vysoké škole.</w:t>
      </w:r>
    </w:p>
    <w:p>
      <w:pPr>
        <w:pStyle w:val="Normal"/>
        <w:keepNext w:val="true"/>
        <w:keepLines/>
        <w:numPr>
          <w:ilvl w:val="0"/>
          <w:numId w:val="0"/>
        </w:numPr>
        <w:suppressAutoHyphens w:val="true"/>
        <w:spacing w:before="320" w:after="160"/>
        <w:jc w:val="both"/>
        <w:outlineLvl w:val="4"/>
        <w:rPr>
          <w:rFonts w:eastAsia="MS PGothic" w:cs="Arial"/>
          <w:b/>
          <w:bCs/>
          <w:kern w:val="2"/>
          <w14:ligatures w14:val="standardContextual"/>
        </w:rPr>
      </w:pPr>
      <w:r>
        <w:rPr>
          <w:rFonts w:eastAsia="MS PGothic" w:cs="Arial"/>
          <w:b/>
          <w:bCs/>
          <w:kern w:val="2"/>
          <w14:ligatures w14:val="standardContextual"/>
        </w:rPr>
        <w:t>4.4.5 Posílení role Akreditačního úřadu v oblasti evaluace činností vysokých škol a zapojení do mezinárodních asociací a organizací</w:t>
      </w:r>
    </w:p>
    <w:p>
      <w:pPr>
        <w:pStyle w:val="Normal"/>
        <w:spacing w:before="0" w:after="160"/>
        <w:jc w:val="both"/>
        <w:rPr>
          <w:rFonts w:cs="Arial"/>
          <w:kern w:val="2"/>
          <w14:ligatures w14:val="standardContextual"/>
        </w:rPr>
      </w:pPr>
      <w:r>
        <w:rPr>
          <w:rFonts w:cs="Arial"/>
          <w:kern w:val="2"/>
          <w14:ligatures w14:val="standardContextual"/>
        </w:rPr>
        <w:t xml:space="preserve">Zapojení Akreditačního úřadu do širšího spektra evaluací vysokých škol představuje logický krok směrem k modernizaci českého vysokoškolského systému a jeho přiblížení standardům Evropského prostoru vysokoškolského vzdělávání. </w:t>
      </w:r>
    </w:p>
    <w:p>
      <w:pPr>
        <w:pStyle w:val="Normal"/>
        <w:spacing w:before="0" w:after="160"/>
        <w:jc w:val="both"/>
        <w:rPr>
          <w:rFonts w:cs="Arial"/>
          <w:kern w:val="2"/>
          <w14:ligatures w14:val="standardContextual"/>
        </w:rPr>
      </w:pPr>
      <w:r>
        <w:rPr>
          <w:rFonts w:cs="Arial"/>
          <w:kern w:val="2"/>
          <w14:ligatures w14:val="standardContextual"/>
        </w:rPr>
        <w:t xml:space="preserve">Propojení institucionálních auditů a hodnocení dalších tvůrčích činností dává silný strategický smysl, protože evaluace sledují různé, ale vzájemně provázané dimenze kvality vysokých škol. Nová právní úprava by měla vhodně provázat současné roztříštěné evaluace vysokých škol. </w:t>
      </w:r>
    </w:p>
    <w:p>
      <w:pPr>
        <w:pStyle w:val="Normal"/>
        <w:spacing w:before="0" w:after="160"/>
        <w:jc w:val="both"/>
        <w:rPr>
          <w:rFonts w:cs="Arial"/>
          <w:kern w:val="2"/>
          <w14:ligatures w14:val="standardContextual"/>
        </w:rPr>
      </w:pPr>
      <w:r>
        <w:rPr>
          <w:rFonts w:cs="Arial"/>
          <w:kern w:val="2"/>
          <w14:ligatures w14:val="standardContextual"/>
        </w:rPr>
        <w:t>Jedním z požadavků Standardů a směrnic ESG je pravidelné externí hodnocení kvality práce akreditační agentury, které provádí právě ENQA. Toto hodnocení ověřuje, zda agentura naplňuje principy nezávislosti, profesionality, konzistence a zapojení stakeholderů. Plnohodnotné členství Akreditačního úřadu v ENQA a zápis v EQAR by tak přinesly nejen mezinárodní uznání, ale také vyšší transparentnost, posílení důvěry v české akreditační procesy a lepší postavení českých vysokých škol v Evropském prostoru vysokoškolského vzdělávání.</w:t>
      </w:r>
    </w:p>
    <w:p>
      <w:pPr>
        <w:pStyle w:val="Normal"/>
        <w:spacing w:before="0" w:after="160"/>
        <w:jc w:val="both"/>
        <w:rPr>
          <w:rFonts w:cs="Arial"/>
          <w:kern w:val="2"/>
          <w14:ligatures w14:val="standardContextual"/>
        </w:rPr>
      </w:pPr>
      <w:r>
        <w:rPr>
          <w:rFonts w:cs="Arial"/>
          <w:kern w:val="2"/>
          <w14:ligatures w14:val="standardContextual"/>
        </w:rPr>
        <w:t xml:space="preserve">Nová právní úprava už nebude zmocňovat vládu vydat akreditační standardy formou nařízení vlády, tedy formou právního předpisu, ale zákon svěří tuto pravomoc i povinnost Akreditačnímu úřadu. </w:t>
      </w:r>
    </w:p>
    <w:p>
      <w:pPr>
        <w:pStyle w:val="Normal"/>
        <w:spacing w:before="0" w:after="160"/>
        <w:jc w:val="both"/>
        <w:rPr>
          <w:rFonts w:cs="Arial"/>
          <w:kern w:val="2"/>
          <w14:ligatures w14:val="standardContextual"/>
        </w:rPr>
      </w:pPr>
      <w:r>
        <w:rPr>
          <w:rFonts w:cs="Arial"/>
          <w:kern w:val="2"/>
          <w14:ligatures w14:val="standardContextual"/>
        </w:rPr>
        <w:t>V případě registrace v EQAR bude Akreditační úřad oprávněn vykonávat další činnosti, které jsou v souladu s činnostmi vyplývajícím z této registrace a jsou v souladu s politikami EHEA, k nimž se Česká republika připojila v souvislosti se svým členstvím v Evropské unii a které mají nejčastěji podobu doporučení Rady Evropské unie nebo jsou přijaty jiným způsobem, např. prostřednictvím dokumentů schválených na ministerských konferencích konaných v rámci Boloňského procesu. V současné době se jedná zejména o pilotní podobu European Degree Label. Konkrétně v rámci European Degree Label by Akreditační úřad měl mít kompetenci na základě posouzení splnění podmínek autorizovat vysoké školy (i zahraniční) k udělení labelu svému konsorciu a kompetenci vykonávat úkony spojené s udělením, potvrzením, evidencí a odnětím European Degree Label podle pravidel nastavených institucemi Evropské unie. Zmocnění by však mělo být formulováno natolik široce, aby každá další evropská iniciativa nebo jejich dílčí změna nevyžadovala novou úpravu v zákoně. Tyto činnosti by navíc měly být možností, nikoli povinností pro Akreditační úřad a v souladu s povahou iniciativ institucí z Evropské unie v této oblasti zůstat na dobrovolné bázi pro vysoké školy.</w:t>
      </w:r>
    </w:p>
    <w:p>
      <w:pPr>
        <w:pStyle w:val="Normal"/>
        <w:spacing w:before="0" w:after="160"/>
        <w:jc w:val="both"/>
        <w:rPr>
          <w:rFonts w:cs="Arial"/>
          <w:kern w:val="2"/>
          <w14:ligatures w14:val="standardContextual"/>
        </w:rPr>
      </w:pPr>
      <w:r>
        <w:rPr>
          <w:rFonts w:cs="Arial"/>
          <w:kern w:val="2"/>
          <w14:ligatures w14:val="standardContextual"/>
        </w:rPr>
        <w:t xml:space="preserve">Tyto činnosti Akreditačního úřadu by se měly řídit pravidly danými příslušným doporučením nebo jiným dokumentem přijatým na úrovni orgánů Evropské unie a kodifikovaným EQAR a ENQA. Tyto činnosti nebudou Akreditačním úřadem uskutečňovány v rámci výkonu veřejné moci, ale budou soukromoprávní službou. </w:t>
      </w:r>
    </w:p>
    <w:p>
      <w:pPr>
        <w:pStyle w:val="Normal"/>
        <w:keepNext w:val="true"/>
        <w:keepLines/>
        <w:numPr>
          <w:ilvl w:val="0"/>
          <w:numId w:val="0"/>
        </w:numPr>
        <w:suppressAutoHyphens w:val="true"/>
        <w:spacing w:before="320" w:after="160"/>
        <w:jc w:val="both"/>
        <w:outlineLvl w:val="4"/>
        <w:rPr>
          <w:rFonts w:eastAsia="MS PGothic" w:cs="Arial"/>
          <w:b/>
          <w:bCs/>
          <w:kern w:val="2"/>
          <w14:ligatures w14:val="standardContextual"/>
        </w:rPr>
      </w:pPr>
      <w:r>
        <w:rPr>
          <w:rFonts w:eastAsia="MS PGothic" w:cs="Arial"/>
          <w:b/>
          <w:bCs/>
          <w:kern w:val="2"/>
          <w14:ligatures w14:val="standardContextual"/>
        </w:rPr>
        <w:t>4.4.6 Poplatky za akreditační procesy a institucionální audit, úplata za poskytnutí služby “hodnoticí agentury” registrované v EQAR</w:t>
      </w:r>
    </w:p>
    <w:p>
      <w:pPr>
        <w:pStyle w:val="Normal"/>
        <w:spacing w:before="0" w:after="160"/>
        <w:jc w:val="both"/>
        <w:rPr>
          <w:rFonts w:eastAsia="Aptos" w:cs="Arial"/>
          <w:kern w:val="2"/>
          <w14:ligatures w14:val="standardContextual"/>
        </w:rPr>
      </w:pPr>
      <w:r>
        <w:rPr>
          <w:rFonts w:cs="Arial"/>
          <w:kern w:val="2"/>
          <w14:ligatures w14:val="standardContextual"/>
        </w:rPr>
        <w:t xml:space="preserve">Akreditační úřad bude za jednotlivé úkony v akreditačním řízení a za úkony spojené s řízením o žádosti o provedení institucionálního auditu vybírat poplatky. Druhy a výše těchto poplatků budou stanoveny v novém zákoně o vysokých školách. Poplatky budou příjmem Akreditačního úřadu. </w:t>
      </w:r>
      <w:r>
        <w:rPr>
          <w:rFonts w:eastAsia="Aptos" w:cs="Arial"/>
          <w:kern w:val="2"/>
          <w14:ligatures w14:val="standardContextual"/>
        </w:rPr>
        <w:t xml:space="preserve">Za hodnocení prováděná Akreditačním úřadem mimo rámec výkonu veřejné moci formou nepovinné služby, k nimž bude </w:t>
      </w:r>
      <w:r>
        <w:rPr>
          <w:rFonts w:cs="Arial"/>
          <w:kern w:val="2"/>
          <w14:ligatures w14:val="standardContextual"/>
        </w:rPr>
        <w:t>Akreditační úřad</w:t>
      </w:r>
      <w:r>
        <w:rPr>
          <w:rFonts w:eastAsia="Aptos" w:cs="Arial"/>
          <w:kern w:val="2"/>
          <w14:ligatures w14:val="standardContextual"/>
        </w:rPr>
        <w:t xml:space="preserve"> oprávněn na základě registrace v</w:t>
      </w:r>
      <w:r>
        <w:rPr>
          <w:rFonts w:cs="Arial"/>
          <w:kern w:val="2"/>
          <w14:ligatures w14:val="standardContextual"/>
        </w:rPr>
        <w:t> </w:t>
      </w:r>
      <w:r>
        <w:rPr>
          <w:rFonts w:eastAsia="Aptos" w:cs="Arial"/>
          <w:kern w:val="2"/>
          <w14:ligatures w14:val="standardContextual"/>
        </w:rPr>
        <w:t xml:space="preserve">EQAR, a to jak pro tuzemské, tak pro zahraniční vysoké školy, bude </w:t>
      </w:r>
      <w:r>
        <w:rPr>
          <w:rFonts w:cs="Arial"/>
          <w:kern w:val="2"/>
          <w14:ligatures w14:val="standardContextual"/>
        </w:rPr>
        <w:t>Akreditační úřad</w:t>
      </w:r>
      <w:r>
        <w:rPr>
          <w:rFonts w:eastAsia="Aptos" w:cs="Arial"/>
          <w:kern w:val="2"/>
          <w14:ligatures w14:val="standardContextual"/>
        </w:rPr>
        <w:t xml:space="preserve"> oprávněn vybírat úplatu. Sazebník úplat </w:t>
      </w:r>
      <w:r>
        <w:rPr>
          <w:rFonts w:cs="Arial"/>
          <w:kern w:val="2"/>
          <w14:ligatures w14:val="standardContextual"/>
        </w:rPr>
        <w:t>Akreditační úřad</w:t>
      </w:r>
      <w:r>
        <w:rPr>
          <w:rFonts w:eastAsia="Aptos" w:cs="Arial"/>
          <w:kern w:val="2"/>
          <w14:ligatures w14:val="standardContextual"/>
        </w:rPr>
        <w:t xml:space="preserve"> zveřejní předem ve veřejné části svých internetových stránek. Příjmy z těchto úplat budou příjmem </w:t>
      </w:r>
      <w:r>
        <w:rPr>
          <w:rFonts w:cs="Arial"/>
          <w:kern w:val="2"/>
          <w14:ligatures w14:val="standardContextual"/>
        </w:rPr>
        <w:t>Akreditačního úřadu</w:t>
      </w:r>
      <w:r>
        <w:rPr>
          <w:rFonts w:eastAsia="Aptos" w:cs="Arial"/>
          <w:kern w:val="2"/>
          <w14:ligatures w14:val="standardContextual"/>
        </w:rPr>
        <w:t>.</w:t>
      </w:r>
    </w:p>
    <w:p>
      <w:pPr>
        <w:pStyle w:val="Normal"/>
        <w:keepNext w:val="true"/>
        <w:keepLines/>
        <w:numPr>
          <w:ilvl w:val="0"/>
          <w:numId w:val="0"/>
        </w:numPr>
        <w:suppressAutoHyphens w:val="true"/>
        <w:spacing w:before="320" w:after="160"/>
        <w:outlineLvl w:val="4"/>
        <w:rPr>
          <w:rFonts w:eastAsia="MS PGothic" w:cs="Arial"/>
          <w:b/>
          <w:bCs/>
          <w:color w:val="545860"/>
          <w:kern w:val="2"/>
          <w:sz w:val="22"/>
          <w:szCs w:val="22"/>
          <w14:ligatures w14:val="standardContextual"/>
        </w:rPr>
      </w:pPr>
      <w:r>
        <w:rPr>
          <w:rFonts w:eastAsia="MS PGothic" w:cs="Arial"/>
          <w:b/>
          <w:bCs/>
          <w:kern w:val="2"/>
          <w14:ligatures w14:val="standardContextual"/>
        </w:rPr>
        <w:t>4.4.7 Přechodné období</w:t>
      </w:r>
    </w:p>
    <w:p>
      <w:pPr>
        <w:pStyle w:val="Normal"/>
        <w:spacing w:before="0" w:after="160"/>
        <w:jc w:val="both"/>
        <w:rPr>
          <w:rFonts w:cs="Arial"/>
          <w:color w:val="000000"/>
          <w:kern w:val="2"/>
          <w14:ligatures w14:val="standardContextual"/>
        </w:rPr>
      </w:pPr>
      <w:r>
        <w:rPr>
          <w:rFonts w:cs="Arial"/>
          <w:color w:val="000000"/>
          <w:kern w:val="2"/>
          <w14:ligatures w14:val="standardContextual"/>
        </w:rPr>
        <w:t xml:space="preserve">Programy akreditované </w:t>
      </w:r>
      <w:r>
        <w:rPr>
          <w:rFonts w:cs="Arial"/>
          <w:kern w:val="2"/>
          <w14:ligatures w14:val="standardContextual"/>
        </w:rPr>
        <w:t xml:space="preserve">Akreditačním úřadem </w:t>
      </w:r>
      <w:r>
        <w:rPr>
          <w:rFonts w:cs="Arial"/>
          <w:color w:val="000000"/>
          <w:kern w:val="2"/>
          <w14:ligatures w14:val="standardContextual"/>
        </w:rPr>
        <w:t xml:space="preserve">nebo schválené v rámci institucionální akreditace v souladu se současným zákonem jsou považovány za akreditované a jejich akreditace je prodloužena na dobu neurčitou. Institucionální akreditace budou považovány za úspěšně uskutečněný institucionální audit dle nového zákona. Přesné lhůty budou nastaveny v rámci přechodných ustanovení tak, aby byl zajištěn dostatečný časový prostor pro přechod na nový systém. S ohledem na změny v oblasti řízení veřejných vysokých škol a změny v oblasti akademických kariér není smysluplné provádět institucionální audit, jehož cílem je evaluace vnitřních procesů vysoké školy v době přechodu na nový systém, proto bude třeba této skutečnosti přizpůsobit časový harmonogram přechodu na nový akreditační systém. </w:t>
      </w:r>
    </w:p>
    <w:p>
      <w:pPr>
        <w:pStyle w:val="Normal"/>
        <w:spacing w:before="0" w:after="200"/>
        <w:rPr>
          <w:rFonts w:cs="Arial"/>
          <w:color w:val="000000"/>
          <w:kern w:val="2"/>
          <w14:ligatures w14:val="standardContextual"/>
        </w:rPr>
      </w:pPr>
      <w:r>
        <w:rPr>
          <w:rFonts w:cs="Arial"/>
          <w:color w:val="000000"/>
          <w:kern w:val="2"/>
          <w14:ligatures w14:val="standardContextual"/>
        </w:rPr>
      </w:r>
      <w:r>
        <w:br w:type="page"/>
      </w:r>
    </w:p>
    <w:p>
      <w:pPr>
        <w:pStyle w:val="Normal"/>
        <w:spacing w:before="0" w:after="160"/>
        <w:jc w:val="both"/>
        <w:rPr>
          <w:rFonts w:cs="Arial"/>
          <w:color w:val="000000"/>
          <w:kern w:val="2"/>
          <w14:ligatures w14:val="standardContextual"/>
        </w:rPr>
      </w:pPr>
      <w:r>
        <w:rPr>
          <w:rFonts w:cs="Arial"/>
          <w:color w:val="000000"/>
          <w:kern w:val="2"/>
          <w14:ligatures w14:val="standardContextual"/>
        </w:rPr>
      </w:r>
    </w:p>
    <w:p>
      <w:pPr>
        <w:pStyle w:val="Normal"/>
        <w:shd w:val="clear" w:color="auto" w:fill="8DB3E2" w:themeFill="text2" w:themeFillTint="66"/>
        <w:rPr>
          <w:b/>
          <w:bCs/>
        </w:rPr>
      </w:pPr>
      <w:r>
        <w:rPr>
          <w:b/>
          <w:bCs/>
        </w:rPr>
        <w:t>4.5 Oblast studia</w:t>
      </w:r>
    </w:p>
    <w:p>
      <w:pPr>
        <w:pStyle w:val="Normal"/>
        <w:spacing w:before="0" w:after="160"/>
        <w:jc w:val="both"/>
        <w:rPr>
          <w:rFonts w:cs="Arial"/>
          <w:b/>
          <w:bCs/>
          <w:color w:val="0D0D0D"/>
          <w:kern w:val="2"/>
          <w:sz w:val="22"/>
          <w:szCs w:val="22"/>
          <w14:ligatures w14:val="standardContextual"/>
        </w:rPr>
      </w:pPr>
      <w:r>
        <w:rPr>
          <w:rFonts w:cs="Arial"/>
          <w:b/>
          <w:bCs/>
          <w:color w:val="0D0D0D"/>
          <w:kern w:val="2"/>
          <w:sz w:val="22"/>
          <w:szCs w:val="22"/>
          <w14:ligatures w14:val="standardContextual"/>
        </w:rPr>
      </w:r>
    </w:p>
    <w:p>
      <w:pPr>
        <w:pStyle w:val="Normal"/>
        <w:spacing w:before="0" w:after="160"/>
        <w:jc w:val="both"/>
        <w:rPr>
          <w:rFonts w:cs="Arial"/>
          <w:color w:val="0D0D0D"/>
          <w:kern w:val="2"/>
          <w14:ligatures w14:val="standardContextual"/>
        </w:rPr>
      </w:pPr>
      <w:r>
        <w:rPr>
          <w:rFonts w:cs="Arial"/>
          <w:color w:val="0D0D0D"/>
          <w:kern w:val="2"/>
          <w14:ligatures w14:val="standardContextual"/>
        </w:rPr>
        <w:t>Cíle nové právní úpravy:</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flexibilní legislativní úprava zohledňující zapojení ČR do Evropského prostoru vysokoškolského vzdělávání (EHEA), principy Boloňského procesu a The Standards and Guidelines for Quality Assurance in the European Higher Education Area (ESG),</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zrušení oblastí vzdělávání (§ 44 a příloha č. 3 současného zákona), zrušení zmocnění pro vydání nařízení vlády o oblastech vzdělávání,</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zrušení legislativního rozlišování akademického a profesního profilu bakalářských a magisterských studijních programů,</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 xml:space="preserve">ukotvení sdruženého studia, </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úprava společných studijních programů (joint degree) a jejich realizace,</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ukotvení programů kratšího studia,</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ukotvení denní formy studia (full-time) a externí formy studia (part-time), které nahradí současné legislativní vymezení prezenční, distanční a kombinované formy studia,</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legislativní úpravy oblasti celoživotního vzdělávání a ukotvení pojmu mikrocertifikát,</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 xml:space="preserve">zjednodušení organizace přijímacího řízení, </w:t>
      </w:r>
    </w:p>
    <w:p>
      <w:pPr>
        <w:pStyle w:val="Normal"/>
        <w:numPr>
          <w:ilvl w:val="0"/>
          <w:numId w:val="65"/>
        </w:numPr>
        <w:spacing w:before="0" w:after="160"/>
        <w:contextualSpacing/>
        <w:jc w:val="both"/>
        <w:rPr>
          <w:rFonts w:cs="Arial"/>
          <w:color w:val="0D0D0D"/>
          <w:kern w:val="2"/>
          <w14:ligatures w14:val="standardContextual"/>
        </w:rPr>
      </w:pPr>
      <w:r>
        <w:rPr>
          <w:rFonts w:cs="Arial"/>
          <w:color w:val="0D0D0D"/>
          <w:kern w:val="2"/>
          <w14:ligatures w14:val="standardContextual"/>
        </w:rPr>
        <w:t xml:space="preserve">zmocnění pro vydání vyhlášek k oblasti studia a podpůrných služeb pro studenty se specifickými potřebami a služeb pro studenty v oblasti ochrany duševního zdraví (popř. metodického pokynu Ministerstva školství, mládeže a tělovýchovy). </w:t>
      </w:r>
    </w:p>
    <w:p>
      <w:pPr>
        <w:pStyle w:val="Normal"/>
        <w:spacing w:before="0" w:after="160"/>
        <w:ind w:start="720"/>
        <w:contextualSpacing/>
        <w:jc w:val="both"/>
        <w:rPr>
          <w:rFonts w:cs="Arial"/>
          <w:color w:val="545860"/>
          <w:kern w:val="2"/>
          <w:sz w:val="22"/>
          <w:szCs w:val="22"/>
          <w14:ligatures w14:val="standardContextual"/>
        </w:rPr>
      </w:pPr>
      <w:r>
        <w:rPr>
          <w:rFonts w:cs="Arial"/>
          <w:color w:val="545860"/>
          <w:kern w:val="2"/>
          <w:sz w:val="22"/>
          <w:szCs w:val="22"/>
          <w14:ligatures w14:val="standardContextual"/>
        </w:rPr>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4.5.1 Přijímací řízení</w:t>
      </w:r>
    </w:p>
    <w:p>
      <w:pPr>
        <w:pStyle w:val="Normal"/>
        <w:spacing w:before="0" w:after="160"/>
        <w:jc w:val="both"/>
        <w:rPr>
          <w:rFonts w:cs="Arial"/>
          <w:color w:val="0D0D0D"/>
          <w:kern w:val="2"/>
          <w14:ligatures w14:val="standardContextual"/>
        </w:rPr>
      </w:pPr>
      <w:r>
        <w:rPr>
          <w:rFonts w:cs="Arial"/>
          <w:color w:val="0D0D0D"/>
          <w:kern w:val="2"/>
          <w14:ligatures w14:val="standardContextual"/>
        </w:rPr>
        <w:t>V rámci přijímacího řízení si vysoká škola může stanovit, jakým způsobem se uchazeč hlásí ke studiu. Je na ní, zda určí, že se uchazeč hlásí například:</w:t>
      </w:r>
    </w:p>
    <w:p>
      <w:pPr>
        <w:pStyle w:val="Normal"/>
        <w:numPr>
          <w:ilvl w:val="0"/>
          <w:numId w:val="67"/>
        </w:numPr>
        <w:spacing w:before="0" w:after="160"/>
        <w:contextualSpacing/>
        <w:jc w:val="both"/>
        <w:rPr>
          <w:rFonts w:cs="Arial"/>
          <w:color w:val="0D0D0D"/>
          <w:kern w:val="2"/>
          <w14:ligatures w14:val="standardContextual"/>
        </w:rPr>
      </w:pPr>
      <w:r>
        <w:rPr>
          <w:rFonts w:cs="Arial"/>
          <w:color w:val="0D0D0D"/>
          <w:kern w:val="2"/>
          <w14:ligatures w14:val="standardContextual"/>
        </w:rPr>
        <w:t xml:space="preserve">přímo do konkrétního studijního programu, </w:t>
      </w:r>
    </w:p>
    <w:p>
      <w:pPr>
        <w:pStyle w:val="Normal"/>
        <w:numPr>
          <w:ilvl w:val="0"/>
          <w:numId w:val="67"/>
        </w:numPr>
        <w:spacing w:before="0" w:after="160"/>
        <w:contextualSpacing/>
        <w:jc w:val="both"/>
        <w:rPr>
          <w:rFonts w:cs="Arial"/>
          <w:color w:val="0D0D0D"/>
          <w:kern w:val="2"/>
          <w14:ligatures w14:val="standardContextual"/>
        </w:rPr>
      </w:pPr>
      <w:r>
        <w:rPr>
          <w:rFonts w:cs="Arial"/>
          <w:color w:val="0D0D0D"/>
          <w:kern w:val="2"/>
          <w14:ligatures w14:val="standardContextual"/>
        </w:rPr>
        <w:t xml:space="preserve"> </w:t>
      </w:r>
      <w:r>
        <w:rPr>
          <w:rFonts w:cs="Arial"/>
          <w:color w:val="0D0D0D"/>
          <w:kern w:val="2"/>
          <w14:ligatures w14:val="standardContextual"/>
        </w:rPr>
        <w:t>do skupiny programů s určením prioritizace, nebo</w:t>
      </w:r>
    </w:p>
    <w:p>
      <w:pPr>
        <w:pStyle w:val="Normal"/>
        <w:numPr>
          <w:ilvl w:val="0"/>
          <w:numId w:val="67"/>
        </w:numPr>
        <w:spacing w:before="0" w:after="160"/>
        <w:contextualSpacing/>
        <w:jc w:val="both"/>
        <w:rPr>
          <w:rFonts w:cs="Arial"/>
          <w:color w:val="0D0D0D"/>
          <w:kern w:val="2"/>
          <w14:ligatures w14:val="standardContextual"/>
        </w:rPr>
      </w:pPr>
      <w:r>
        <w:rPr>
          <w:rFonts w:cs="Arial"/>
          <w:color w:val="0D0D0D"/>
          <w:kern w:val="2"/>
          <w14:ligatures w14:val="standardContextual"/>
        </w:rPr>
        <w:t>obecně ke studiu na vysoké škole nebo fakultě bez bližšího určení studijního programu nebo programů, s tím, že rozřazení do studijního programu proběhne až po částech přijímacího řízení ověřujících studijní předpoklady (např. po přijímacím testu), nejpozději však do 1 roku ode dne zápisu přijatého uchazeče do studia na vysoké škole nebo fakultě.</w:t>
      </w:r>
    </w:p>
    <w:p>
      <w:pPr>
        <w:pStyle w:val="Normal"/>
        <w:spacing w:before="0" w:after="160"/>
        <w:jc w:val="both"/>
        <w:rPr>
          <w:rFonts w:cs="Arial"/>
          <w:color w:val="0D0D0D"/>
          <w:kern w:val="2"/>
          <w14:ligatures w14:val="standardContextual"/>
        </w:rPr>
      </w:pPr>
      <w:r>
        <w:rPr>
          <w:rFonts w:cs="Arial"/>
          <w:color w:val="0D0D0D"/>
          <w:kern w:val="2"/>
          <w14:ligatures w14:val="standardContextual"/>
        </w:rPr>
      </w:r>
    </w:p>
    <w:p>
      <w:pPr>
        <w:pStyle w:val="Normal"/>
        <w:spacing w:before="0" w:after="160"/>
        <w:jc w:val="both"/>
        <w:rPr>
          <w:rFonts w:cs="Arial"/>
          <w:color w:val="0D0D0D"/>
          <w:kern w:val="2"/>
          <w14:ligatures w14:val="standardContextual"/>
        </w:rPr>
      </w:pPr>
      <w:r>
        <w:rPr>
          <w:rFonts w:cs="Arial"/>
          <w:color w:val="0D0D0D"/>
          <w:kern w:val="2"/>
          <w14:ligatures w14:val="standardContextual"/>
        </w:rPr>
        <w:t>Tento přístup dává vysokým školám flexibilitu nastavit přijímací proces tak, aby odpovídal jejich organizační struktuře, kapacitám i strategii řízení studijních programů. Vysoké školy by měly mít možnost samy stanovit, jakým způsobem se uchazeči hlásí ke studiu, protože různé instituce mají odlišnou strukturu studijních programů, kapacity i strategii řízení studia. Flexibilní nastavení přihlášek umožňuje škole lépe řídit přijímací proces a efektivněji pracovat s kapacitami.</w:t>
      </w:r>
    </w:p>
    <w:p>
      <w:pPr>
        <w:pStyle w:val="Normal"/>
        <w:spacing w:before="0" w:after="160"/>
        <w:jc w:val="both"/>
        <w:rPr>
          <w:rFonts w:cs="Arial"/>
          <w:color w:val="0D0D0D"/>
          <w:kern w:val="2"/>
          <w14:ligatures w14:val="standardContextual"/>
        </w:rPr>
      </w:pPr>
      <w:r>
        <w:rPr>
          <w:rFonts w:cs="Arial"/>
          <w:color w:val="0D0D0D"/>
          <w:kern w:val="2"/>
          <w14:ligatures w14:val="standardContextual"/>
        </w:rPr>
        <w:t>Vysoké školy by měly v rámci přijímacího řízení zajistit rovné podmínky pro všechny uchazeče, a to mimo jiné i v oblasti počtu pokusů u přijímací zkoušky. Poplatek za úkony spojené s přijímacím řízením uhrazený uchazečem musí pokrývat všechny pokusy, které jsou součástí daného přijímacího řízení, aby nedocházelo k nerovnému zacházení ani ke zvýhodnění nebo znevýhodnění jednotlivých uchazečů na základě úhrady pokusů navíc.</w:t>
      </w:r>
    </w:p>
    <w:p>
      <w:pPr>
        <w:pStyle w:val="Normal"/>
        <w:spacing w:before="0" w:after="160"/>
        <w:jc w:val="both"/>
        <w:rPr>
          <w:rFonts w:cs="Arial"/>
          <w:color w:val="0D0D0D"/>
          <w:kern w:val="2"/>
          <w14:ligatures w14:val="standardContextual"/>
        </w:rPr>
      </w:pPr>
      <w:r>
        <w:rPr>
          <w:rFonts w:cs="Arial"/>
          <w:color w:val="0D0D0D"/>
          <w:kern w:val="2"/>
          <w14:ligatures w14:val="standardContextual"/>
        </w:rPr>
        <w:t>Zákon stanoví možnou „karenční dobu“, tedy dobu, po kterou by vysoká škola opakovaně neúspěšného studenta nemusela přijmout do stejného studijního programu, pokud to tak má stanoveno ve svých vnitřních předpisech.</w:t>
      </w:r>
    </w:p>
    <w:p>
      <w:pPr>
        <w:pStyle w:val="Normal"/>
        <w:spacing w:before="0" w:after="160"/>
        <w:jc w:val="both"/>
        <w:rPr>
          <w:rFonts w:cs="Arial"/>
          <w:color w:val="0D0D0D"/>
          <w:kern w:val="2"/>
          <w14:ligatures w14:val="standardContextual"/>
        </w:rPr>
      </w:pPr>
      <w:r>
        <w:rPr>
          <w:rFonts w:cs="Arial"/>
          <w:color w:val="0D0D0D"/>
          <w:kern w:val="2"/>
          <w14:ligatures w14:val="standardContextual"/>
        </w:rPr>
        <w:t>Zákon umožní podmíněné přijetí a podmíněný zápis pro uchazeče o studium, kteří předchozí požadované vzdělání (nebo jeho relevantní část) získali v zahraničí a kteří v době přijímacího řízení (případně zápisu ke studiu) ještě nemají k dispozici všechny dokumenty o ukončení předchozího studia a nemohou je tak vysoké škole ve stanoveném termínu předložit; bližší postup a termíny prokazování dosaženého předchozího vzdělání stanoví vysoká škola ve svém vnitřním předpisu.</w:t>
      </w:r>
    </w:p>
    <w:p>
      <w:pPr>
        <w:pStyle w:val="Normal"/>
        <w:spacing w:before="0" w:after="160"/>
        <w:jc w:val="both"/>
        <w:rPr>
          <w:rFonts w:cs="Arial"/>
          <w:color w:val="0D0D0D"/>
          <w:kern w:val="2"/>
          <w14:ligatures w14:val="standardContextual"/>
        </w:rPr>
      </w:pPr>
      <w:r>
        <w:rPr>
          <w:rFonts w:cs="Arial"/>
          <w:color w:val="0D0D0D"/>
          <w:kern w:val="2"/>
          <w14:ligatures w14:val="standardContextual"/>
        </w:rPr>
        <w:t>Zákon stanoví požadavek na doložení zdravotní nebo jiné způsobilosti uchazeče ke studiu nebo k následnému výkonu povolání nebo činnosti, k níž studium připravuje, v případě speciálních požadavků (např. v případě zdravotnických nebo učitelských studijních programů).</w:t>
      </w:r>
    </w:p>
    <w:p>
      <w:pPr>
        <w:pStyle w:val="Normal"/>
        <w:keepNext w:val="true"/>
        <w:keepLines/>
        <w:numPr>
          <w:ilvl w:val="0"/>
          <w:numId w:val="0"/>
        </w:numPr>
        <w:suppressAutoHyphens w:val="true"/>
        <w:spacing w:before="320" w:after="160"/>
        <w:outlineLvl w:val="4"/>
        <w:rPr>
          <w:rFonts w:eastAsia="MS PGothic" w:cs="Arial"/>
          <w:b/>
          <w:bCs/>
          <w:kern w:val="2"/>
          <w14:ligatures w14:val="standardContextual"/>
        </w:rPr>
      </w:pPr>
      <w:r>
        <w:rPr>
          <w:rFonts w:eastAsia="MS PGothic" w:cs="Arial"/>
          <w:b/>
          <w:bCs/>
          <w:kern w:val="2"/>
          <w14:ligatures w14:val="standardContextual"/>
        </w:rPr>
        <w:t>4.5.2 Studium</w:t>
      </w:r>
    </w:p>
    <w:p>
      <w:pPr>
        <w:pStyle w:val="Normal"/>
        <w:spacing w:before="0" w:after="160"/>
        <w:jc w:val="both"/>
        <w:rPr>
          <w:rFonts w:cs="Arial"/>
          <w:color w:val="0D0D0D"/>
          <w:kern w:val="2"/>
          <w14:ligatures w14:val="standardContextual"/>
        </w:rPr>
      </w:pPr>
      <w:r>
        <w:rPr>
          <w:rFonts w:cs="Arial"/>
          <w:color w:val="0D0D0D"/>
          <w:kern w:val="2"/>
          <w14:ligatures w14:val="standardContextual"/>
        </w:rPr>
        <w:t xml:space="preserve">V zákoně bude studium vymezeno tak, aby umožňovalo co nejflexibilnější cesty k dosažení výsledného profilu absolventa, a to bez ohledu na to, zda student postupuje tradičním lineárním studiem v bakalářských, magisterských nebo doktorských studijních programech, nebo kombinuje různé formy vzdělávání. Moderní právní rámec musí počítat s heterogenní populací studentů, kteří budou vstupovat do vzdělávání v různých fázích dospělého života, s rozdílnými zkušenostmi, předchozím vzděláním i potřebami. </w:t>
      </w:r>
    </w:p>
    <w:p>
      <w:pPr>
        <w:pStyle w:val="Normal"/>
        <w:spacing w:before="0" w:after="160"/>
        <w:jc w:val="both"/>
        <w:rPr>
          <w:rFonts w:cs="Arial"/>
          <w:b/>
          <w:bCs/>
          <w:kern w:val="2"/>
          <w14:ligatures w14:val="standardContextual"/>
        </w:rPr>
      </w:pPr>
      <w:r>
        <w:rPr>
          <w:rFonts w:cs="Arial"/>
          <w:b/>
          <w:bCs/>
          <w:kern w:val="2"/>
          <w14:ligatures w14:val="standardContextual"/>
        </w:rPr>
        <w:t>4.5.3 Studijní program a jeho atributy</w:t>
      </w:r>
    </w:p>
    <w:p>
      <w:pPr>
        <w:pStyle w:val="Normal"/>
        <w:spacing w:before="0" w:after="160"/>
        <w:jc w:val="both"/>
        <w:rPr>
          <w:rFonts w:cs="Arial"/>
          <w:color w:val="0D0D0D"/>
          <w:kern w:val="2"/>
          <w14:ligatures w14:val="standardContextual"/>
        </w:rPr>
      </w:pPr>
      <w:r>
        <w:rPr>
          <w:rFonts w:cs="Arial"/>
          <w:color w:val="0D0D0D"/>
          <w:kern w:val="2"/>
          <w14:ligatures w14:val="standardContextual"/>
        </w:rPr>
        <w:t xml:space="preserve">Studijní program představuje rámec vysokoškolského vzdělávání v určité oblasti nebo souvisejícím okruhu oblastí. Studijní program je vymezen společnými cíli vzdělávání, výsledky učení a základním profilem absolventa. Rozdílné odborné zaměření, specifické kompetence nebo profesní uplatnění absolventa mohou být v rámci studijního programu vyjádřeny prostřednictvím specializací. Struktura programu, obsah studia, metody výuky i způsoby hodnocení studentů jsou navrženy tak, aby směřovaly k dosažení těchto výsledků učení a odpovídaly principům vzdělávání zaměřeného na studenta. U každého studijního programu  </w:t>
      </w:r>
    </w:p>
    <w:p>
      <w:pPr>
        <w:pStyle w:val="Normal"/>
        <w:numPr>
          <w:ilvl w:val="0"/>
          <w:numId w:val="66"/>
        </w:numPr>
        <w:spacing w:before="0" w:after="160"/>
        <w:contextualSpacing/>
        <w:jc w:val="both"/>
        <w:rPr>
          <w:rFonts w:cs="Arial"/>
          <w:color w:val="0D0D0D"/>
          <w:kern w:val="2"/>
          <w14:ligatures w14:val="standardContextual"/>
        </w:rPr>
      </w:pPr>
      <w:r>
        <w:rPr>
          <w:rFonts w:cs="Arial"/>
          <w:color w:val="0D0D0D"/>
          <w:kern w:val="2"/>
          <w14:ligatures w14:val="standardContextual"/>
        </w:rPr>
        <w:t>je popsán jasně definovaný profil absolventa, který popisuje znalosti, dovednosti a kompetence, které absolvent studiem získal,</w:t>
      </w:r>
    </w:p>
    <w:p>
      <w:pPr>
        <w:pStyle w:val="Normal"/>
        <w:numPr>
          <w:ilvl w:val="0"/>
          <w:numId w:val="66"/>
        </w:numPr>
        <w:spacing w:before="0" w:after="160"/>
        <w:contextualSpacing/>
        <w:jc w:val="both"/>
        <w:rPr>
          <w:rFonts w:cs="Arial"/>
          <w:color w:val="0D0D0D"/>
          <w:kern w:val="2"/>
          <w14:ligatures w14:val="standardContextual"/>
        </w:rPr>
      </w:pPr>
      <w:r>
        <w:rPr>
          <w:rFonts w:cs="Arial"/>
          <w:color w:val="0D0D0D"/>
          <w:kern w:val="2"/>
          <w14:ligatures w14:val="standardContextual"/>
        </w:rPr>
        <w:t>jsou popsány výsledky učení, které tvoří základ pro tvorbu kurikula, hodnocení studentů i uznávání kvalifikací a možnost uznávání splnění studijních povinností ze studia absolvovaného na jiné (tuzemské i zahraniční) vysoké škole (popř. na vyšší odborné škole) nebo z jeho části, z celoživotního vzdělávání (doloženého osvědčením nebo mikrocertifikátem),</w:t>
      </w:r>
    </w:p>
    <w:p>
      <w:pPr>
        <w:pStyle w:val="Normal"/>
        <w:numPr>
          <w:ilvl w:val="0"/>
          <w:numId w:val="66"/>
        </w:numPr>
        <w:spacing w:before="0" w:after="160"/>
        <w:contextualSpacing/>
        <w:jc w:val="both"/>
        <w:rPr>
          <w:rFonts w:cs="Arial"/>
          <w:color w:val="0D0D0D"/>
          <w:kern w:val="2"/>
          <w14:ligatures w14:val="standardContextual"/>
        </w:rPr>
      </w:pPr>
      <w:r>
        <w:rPr>
          <w:rFonts w:cs="Arial"/>
          <w:color w:val="0D0D0D"/>
          <w:kern w:val="2"/>
          <w14:ligatures w14:val="standardContextual"/>
        </w:rPr>
        <w:t>je popsán kreditový systém ECTS (European Credit Transfer and Accumulation System), včetně škály hodnocení A-F,</w:t>
      </w:r>
    </w:p>
    <w:p>
      <w:pPr>
        <w:pStyle w:val="Normal"/>
        <w:numPr>
          <w:ilvl w:val="0"/>
          <w:numId w:val="66"/>
        </w:numPr>
        <w:spacing w:before="0" w:after="160"/>
        <w:contextualSpacing/>
        <w:jc w:val="both"/>
        <w:rPr>
          <w:rFonts w:cs="Arial"/>
          <w:color w:val="0D0D0D"/>
          <w:kern w:val="2"/>
          <w14:ligatures w14:val="standardContextual"/>
        </w:rPr>
      </w:pPr>
      <w:r>
        <w:rPr>
          <w:rFonts w:cs="Arial"/>
          <w:color w:val="0D0D0D"/>
          <w:kern w:val="2"/>
          <w14:ligatures w14:val="standardContextual"/>
        </w:rPr>
        <w:t>je popsáno zařazení do kvalifikačního rámce EQF a k ISCED-F.</w:t>
      </w:r>
    </w:p>
    <w:p>
      <w:pPr>
        <w:pStyle w:val="Normal"/>
        <w:spacing w:before="0" w:after="160"/>
        <w:jc w:val="both"/>
        <w:rPr>
          <w:rFonts w:cs="Arial"/>
          <w:color w:val="0D0D0D"/>
          <w:kern w:val="2"/>
          <w14:ligatures w14:val="standardContextual"/>
        </w:rPr>
      </w:pPr>
      <w:r>
        <w:rPr>
          <w:rFonts w:cs="Arial"/>
          <w:color w:val="0D0D0D"/>
          <w:kern w:val="2"/>
          <w14:ligatures w14:val="standardContextual"/>
        </w:rPr>
      </w:r>
    </w:p>
    <w:p>
      <w:pPr>
        <w:pStyle w:val="Normal"/>
        <w:spacing w:before="0" w:after="160"/>
        <w:jc w:val="both"/>
        <w:rPr>
          <w:rFonts w:cs="Arial"/>
          <w:color w:val="0D0D0D"/>
          <w:kern w:val="2"/>
          <w14:ligatures w14:val="standardContextual"/>
        </w:rPr>
      </w:pPr>
      <w:r>
        <w:rPr>
          <w:rFonts w:cs="Arial"/>
          <w:color w:val="0D0D0D"/>
          <w:kern w:val="2"/>
          <w14:ligatures w14:val="standardContextual"/>
        </w:rPr>
        <w:t>Vzdělávání v rámci studijních programů je orientované na studenta. Při zajišťování kvality studijních programů jsou uplatňovány standardy a směrnice ESG. Studijní programy jsou konstruovány tak, aby umožňovaly zahraniční i domácí mobilitu, uznávání předchozího vzdělání a flexibilní studijní cesty – nejen v rámci dané vysoké školy, ale i mezi vysokými školami (českými i zahraničními).</w:t>
      </w:r>
    </w:p>
    <w:p>
      <w:pPr>
        <w:pStyle w:val="Normal"/>
        <w:spacing w:before="0" w:after="160"/>
        <w:jc w:val="both"/>
        <w:rPr>
          <w:rFonts w:cs="Arial"/>
          <w:color w:val="0D0D0D"/>
          <w:kern w:val="2"/>
          <w14:ligatures w14:val="standardContextual"/>
        </w:rPr>
      </w:pPr>
      <w:r>
        <w:rPr>
          <w:rFonts w:cs="Arial"/>
          <w:color w:val="0D0D0D"/>
          <w:kern w:val="2"/>
          <w14:ligatures w14:val="standardContextual"/>
        </w:rPr>
        <w:t xml:space="preserve">Nový zákon ukotví sdružené studium. Zákonná úprava vytvoří jasný a stabilní rámec, který odstraní současnou nejistotu a zajistí, že tento typ studia bude chápán a používán jednotně. Zároveň posílí právní jistotu studentů, kteří budou přesně vědět, jak je jejich studium strukturováno a jaké má náležitosti. V zákoně bude ukotvena možnost, aby student v rámci studijního programu uskutečňovaného formou sdruženého studia, k jehož studiu je zapsán, mohl plnit podle povahy studijního programu povinnosti až do výše 50 % procent celkové studijní zátěže jiného studijního programu uskutečňovaného vysokou školou. </w:t>
      </w:r>
    </w:p>
    <w:p>
      <w:pPr>
        <w:pStyle w:val="Normal"/>
        <w:keepNext w:val="true"/>
        <w:keepLines/>
        <w:numPr>
          <w:ilvl w:val="0"/>
          <w:numId w:val="0"/>
        </w:numPr>
        <w:suppressAutoHyphens w:val="true"/>
        <w:spacing w:before="320" w:after="80"/>
        <w:outlineLvl w:val="5"/>
        <w:rPr>
          <w:rFonts w:eastAsia="MS PGothic" w:cs="Arial"/>
          <w:b/>
          <w:bCs/>
          <w:kern w:val="2"/>
          <w14:ligatures w14:val="standardContextual"/>
        </w:rPr>
      </w:pPr>
      <w:r>
        <w:rPr>
          <w:rFonts w:eastAsia="MS PGothic" w:cs="Arial"/>
          <w:b/>
          <w:bCs/>
          <w:kern w:val="2"/>
          <w14:ligatures w14:val="standardContextual"/>
        </w:rPr>
        <w:t xml:space="preserve">Garant </w:t>
      </w:r>
    </w:p>
    <w:p>
      <w:pPr>
        <w:pStyle w:val="Normal"/>
        <w:spacing w:before="0" w:after="160"/>
        <w:jc w:val="both"/>
        <w:rPr>
          <w:rFonts w:cs="Arial"/>
          <w:color w:val="0D0D0D"/>
          <w:kern w:val="2"/>
          <w14:ligatures w14:val="standardContextual"/>
        </w:rPr>
      </w:pPr>
      <w:r>
        <w:rPr>
          <w:rFonts w:cs="Arial"/>
          <w:color w:val="0D0D0D"/>
          <w:kern w:val="2"/>
          <w14:ligatures w14:val="standardContextual"/>
        </w:rPr>
        <w:t>Garant programu působí na vysoké škole na základě pracovního nebo služebního poměru nebo poměrů s celkovou týdenní pracovní dobou odpovídající stanovené týdenní pracovní době podle § 79 zákoníku práce. Jde-li o program uskutečňovaný fakultou vysoké školy, působí garant studijního programu též na této fakultě na základě pracovního nebo služebního poměru podle věty první s týdenní pracovní dobou odpovídající alespoň polovině stanovené týdenní pracovní doby podle § 79 zákoníku práce.</w:t>
      </w:r>
    </w:p>
    <w:p>
      <w:pPr>
        <w:pStyle w:val="Normal"/>
        <w:spacing w:before="0" w:after="160"/>
        <w:jc w:val="both"/>
        <w:rPr>
          <w:rFonts w:cs="Arial"/>
          <w:color w:val="0D0D0D"/>
          <w:kern w:val="2"/>
          <w14:ligatures w14:val="standardContextual"/>
        </w:rPr>
      </w:pPr>
      <w:r>
        <w:rPr>
          <w:rFonts w:cs="Arial"/>
          <w:color w:val="0D0D0D"/>
          <w:kern w:val="2"/>
          <w14:ligatures w14:val="standardContextual"/>
        </w:rPr>
        <w:t>Garant doktorského studijního programu je zařazen na pozici R4, garant magisterského studijního programu na pozici R3. Garant studijního programu má odbornou kvalifikaci a vykonává tvůrčí činnost vztahující se k danému programu nebo programu blízkého nebo příbuzného obsahového zaměření. Garant je významným způsobem zapojen do výuky v programu.</w:t>
      </w:r>
    </w:p>
    <w:p>
      <w:pPr>
        <w:pStyle w:val="Normal"/>
        <w:keepNext w:val="true"/>
        <w:keepLines/>
        <w:numPr>
          <w:ilvl w:val="0"/>
          <w:numId w:val="0"/>
        </w:numPr>
        <w:suppressAutoHyphens w:val="true"/>
        <w:spacing w:before="320" w:after="80"/>
        <w:outlineLvl w:val="5"/>
        <w:rPr>
          <w:rFonts w:eastAsia="MS PGothic" w:cs="Arial"/>
          <w:b/>
          <w:bCs/>
          <w:kern w:val="2"/>
          <w14:ligatures w14:val="standardContextual"/>
        </w:rPr>
      </w:pPr>
      <w:r>
        <w:rPr>
          <w:rFonts w:eastAsia="MS PGothic" w:cs="Arial"/>
          <w:b/>
          <w:bCs/>
          <w:kern w:val="2"/>
          <w14:ligatures w14:val="standardContextual"/>
        </w:rPr>
        <w:t xml:space="preserve">Personální zabezpečení </w:t>
      </w:r>
    </w:p>
    <w:p>
      <w:pPr>
        <w:pStyle w:val="Normal"/>
        <w:spacing w:before="0" w:after="160"/>
        <w:jc w:val="both"/>
        <w:rPr>
          <w:rFonts w:cs="Arial"/>
          <w:color w:val="0D0D0D"/>
          <w:kern w:val="2"/>
          <w14:ligatures w14:val="standardContextual"/>
        </w:rPr>
      </w:pPr>
      <w:r>
        <w:rPr>
          <w:rFonts w:cs="Arial"/>
          <w:color w:val="0D0D0D"/>
          <w:kern w:val="2"/>
          <w14:ligatures w14:val="standardContextual"/>
        </w:rPr>
        <w:t>Počet a struktura akademických pracovníků a dalších osob zabezpečujících nový program, o jehož akreditaci je žádáno, nebo odvozený studijní program, odpovídá z hlediska kvalifikace, délky týdenní pracovní doby, věku, doby, na kterou je jejich pracovní poměr na vysoké škole sjednán, a zkušeností s působením v zahraničí nebo v praxi typu a obsahovému zaměření programu, cílům studia, struktuře doporučeného studijního plánu, metodám výuky a předpokládaném počtu studentů.</w:t>
      </w:r>
    </w:p>
    <w:p>
      <w:pPr>
        <w:pStyle w:val="Normal"/>
        <w:spacing w:before="0" w:after="160"/>
        <w:jc w:val="both"/>
        <w:rPr>
          <w:rFonts w:cs="Arial"/>
          <w:color w:val="0D0D0D"/>
          <w:kern w:val="2"/>
          <w14:ligatures w14:val="standardContextual"/>
        </w:rPr>
      </w:pPr>
      <w:r>
        <w:rPr>
          <w:rFonts w:cs="Arial"/>
          <w:color w:val="0D0D0D"/>
          <w:kern w:val="2"/>
          <w14:ligatures w14:val="standardContextual"/>
        </w:rPr>
        <w:t>Vyučující jednotlivých studijních předmětů mají kvalifikaci odpovídající zajišťovaným studijním předmětům.</w:t>
      </w:r>
    </w:p>
    <w:p>
      <w:pPr>
        <w:pStyle w:val="Normal"/>
        <w:spacing w:before="0" w:after="160"/>
        <w:jc w:val="both"/>
        <w:rPr>
          <w:rFonts w:cs="Arial"/>
          <w:color w:val="0D0D0D"/>
          <w:kern w:val="2"/>
          <w14:ligatures w14:val="standardContextual"/>
        </w:rPr>
      </w:pPr>
      <w:r>
        <w:rPr>
          <w:rFonts w:cs="Arial"/>
          <w:color w:val="0D0D0D"/>
          <w:kern w:val="2"/>
          <w14:ligatures w14:val="standardContextual"/>
        </w:rPr>
        <w:t>Nejde-li o studijní předmět programu spadající svým obsahovým zaměřením do oblasti umění, mají vyučující zajišťující výuku studijního předmětu vysokoškolské vzdělání získané absolvováním alespoň magisterského studijního programu nebo odpovídající vzdělání získané na zahraniční vysoké škole. Osoby s nižším vzděláním, než vzděláním absolvovaným v magisterském studijním programu se mohou na výuce podílet jen pod supervizí.</w:t>
      </w:r>
    </w:p>
    <w:p>
      <w:pPr>
        <w:pStyle w:val="Normal"/>
        <w:keepNext w:val="true"/>
        <w:keepLines/>
        <w:numPr>
          <w:ilvl w:val="0"/>
          <w:numId w:val="0"/>
        </w:numPr>
        <w:suppressAutoHyphens w:val="true"/>
        <w:spacing w:before="320" w:after="80"/>
        <w:outlineLvl w:val="5"/>
        <w:rPr>
          <w:rFonts w:eastAsia="MS PGothic" w:cs="Arial"/>
          <w:b/>
          <w:bCs/>
          <w:kern w:val="2"/>
          <w14:ligatures w14:val="standardContextual"/>
        </w:rPr>
      </w:pPr>
      <w:r>
        <w:rPr>
          <w:rFonts w:eastAsia="MS PGothic" w:cs="Arial"/>
          <w:b/>
          <w:bCs/>
          <w:kern w:val="2"/>
          <w14:ligatures w14:val="standardContextual"/>
        </w:rPr>
        <w:t>Tvůrčí činnost vysoké školy vztahující se ke studijnímu programu</w:t>
      </w:r>
    </w:p>
    <w:p>
      <w:pPr>
        <w:pStyle w:val="Normal"/>
        <w:spacing w:before="0" w:after="160"/>
        <w:jc w:val="both"/>
        <w:rPr>
          <w:rFonts w:cs="Arial"/>
          <w:color w:val="0D0D0D"/>
          <w:kern w:val="2"/>
          <w14:ligatures w14:val="standardContextual"/>
        </w:rPr>
      </w:pPr>
      <w:r>
        <w:rPr>
          <w:rFonts w:cs="Arial"/>
          <w:color w:val="0D0D0D"/>
          <w:kern w:val="2"/>
          <w14:ligatures w14:val="standardContextual"/>
        </w:rPr>
        <w:t xml:space="preserve">Vysoká škola uskutečňuje podle typu uskutečňovaných programů tvůrčí činnost, která souvisí s těmito programy. Je-li program uskutečňován fakultou vysoké školy, je tato tvůrčí činnost uskutečňována též na této fakultě. </w:t>
      </w:r>
    </w:p>
    <w:p>
      <w:pPr>
        <w:pStyle w:val="Normal"/>
        <w:spacing w:before="0" w:after="160"/>
        <w:jc w:val="both"/>
        <w:rPr>
          <w:rFonts w:cs="Arial"/>
          <w:b/>
          <w:bCs/>
          <w:kern w:val="2"/>
          <w14:ligatures w14:val="standardContextual"/>
        </w:rPr>
      </w:pPr>
      <w:r>
        <w:rPr>
          <w:rFonts w:cs="Arial"/>
          <w:b/>
          <w:bCs/>
          <w:kern w:val="2"/>
          <w14:ligatures w14:val="standardContextual"/>
        </w:rPr>
        <w:t>4.5.4 Profily studijních programů a oblasti vzdělávání</w:t>
      </w:r>
    </w:p>
    <w:p>
      <w:pPr>
        <w:pStyle w:val="Normal"/>
        <w:spacing w:before="0" w:after="160"/>
        <w:jc w:val="both"/>
        <w:rPr>
          <w:rFonts w:cs="Arial"/>
          <w:color w:val="0D0D0D"/>
          <w:kern w:val="2"/>
          <w14:ligatures w14:val="standardContextual"/>
        </w:rPr>
      </w:pPr>
      <w:r>
        <w:rPr>
          <w:rFonts w:cs="Arial"/>
          <w:color w:val="0D0D0D"/>
          <w:kern w:val="2"/>
          <w14:ligatures w14:val="standardContextual"/>
        </w:rPr>
        <w:t>Výuka jednotlivých předmětů může probíhat v prezenční, distanční nebo kombinované formě, přičemž volba formy by měla vždy vycházet z povahy a didaktických potřeb daného předmětu. Zvolená forma výuky musí být zároveň provázána s odpovídající formou ukončení předmětu a s využitím adekvátních pomůcek a infrastruktury, aby byla zajištěna srovnatelná kvalita studijní zkušenosti napříč různými režimy výuky. Takto nastavený systém umožňuje vysokým školám pružně reagovat na charakter obsahu, technologické možnosti i potřeby studentů.</w:t>
      </w:r>
    </w:p>
    <w:p>
      <w:pPr>
        <w:pStyle w:val="Normal"/>
        <w:spacing w:before="0" w:after="160"/>
        <w:jc w:val="both"/>
        <w:rPr>
          <w:rFonts w:cs="Arial"/>
          <w:color w:val="0D0D0D"/>
          <w:kern w:val="2"/>
          <w14:ligatures w14:val="standardContextual"/>
        </w:rPr>
      </w:pPr>
      <w:r>
        <w:rPr>
          <w:rFonts w:cs="Arial"/>
          <w:color w:val="0D0D0D"/>
          <w:kern w:val="2"/>
          <w14:ligatures w14:val="standardContextual"/>
        </w:rPr>
        <w:t>Atributem bakalářského nebo magisterského studijního programu už nebude profil – profesní nebo akademický a ani oblast vzdělávání. Klíčovým hlediskem kvality studijního programu by proto neměla být jeho kategorizace, ale zejména jasně vymezený profil absolventa, odpovídající výsledky učení a schopnost programu tyto výsledky efektivně naplňovat. Studijní programy musí být koncipovány tak, aby jejich obsah, metody výuky, způsob ověřování dosažených znalostí a dovedností i personální a materiální zabezpečení vytvářely ucelený a vnitřně konzistentní systém vedoucí k dosažení deklarovaného profilu absolventa. Současně musí reflektovat aktuální potřeby společnosti, zaměstnavatelů a profesní praxe a splňovat požadavky na akademickou kvalitu vysokoškolského vzdělávání. Zákon ukotví požadavek na stanovení akreditačních standardů, které budou ve svých kritériích zohledňovat také specifika profesně zaměřených studijních programů.</w:t>
      </w:r>
    </w:p>
    <w:p>
      <w:pPr>
        <w:pStyle w:val="Normal"/>
        <w:spacing w:before="0" w:after="160"/>
        <w:jc w:val="both"/>
        <w:rPr>
          <w:rFonts w:cs="Arial"/>
          <w:color w:val="0D0D0D"/>
          <w:kern w:val="2"/>
          <w14:ligatures w14:val="standardContextual"/>
        </w:rPr>
      </w:pPr>
      <w:r>
        <w:rPr>
          <w:rFonts w:cs="Arial"/>
          <w:color w:val="0D0D0D"/>
          <w:kern w:val="2"/>
          <w14:ligatures w14:val="standardContextual"/>
        </w:rPr>
        <w:t>Pro kategorizaci studijních programů bude využíván mezinárodní klasifikační systém ISCED-F, který již nyní je používán pro stanovení kódu konkrétního studijního programu a je používán pro mezinárodní statistické vykazování. Zákon nebude vymezovat oblasti vzdělávání.</w:t>
      </w:r>
    </w:p>
    <w:p>
      <w:pPr>
        <w:pStyle w:val="Normal"/>
        <w:spacing w:before="0" w:after="160"/>
        <w:jc w:val="both"/>
        <w:rPr>
          <w:rFonts w:cs="Arial"/>
          <w:b/>
          <w:bCs/>
          <w:kern w:val="2"/>
          <w14:ligatures w14:val="standardContextual"/>
        </w:rPr>
      </w:pPr>
      <w:r>
        <w:rPr>
          <w:rFonts w:cs="Arial"/>
          <w:b/>
          <w:bCs/>
          <w:kern w:val="2"/>
          <w14:ligatures w14:val="standardContextual"/>
        </w:rPr>
        <w:t>4.5.5 Denní forma studia (full-time) a externí forma studia (part-time)</w:t>
      </w:r>
    </w:p>
    <w:p>
      <w:pPr>
        <w:pStyle w:val="Normal"/>
        <w:spacing w:before="0" w:after="160"/>
        <w:jc w:val="both"/>
        <w:rPr>
          <w:rFonts w:cs="Arial"/>
          <w:color w:val="0D0D0D"/>
          <w:kern w:val="2"/>
          <w14:ligatures w14:val="standardContextual"/>
        </w:rPr>
      </w:pPr>
      <w:r>
        <w:rPr>
          <w:rFonts w:cs="Arial"/>
          <w:color w:val="0D0D0D"/>
          <w:kern w:val="2"/>
          <w14:ligatures w14:val="standardContextual"/>
        </w:rPr>
        <w:t>Současné v ČR unikátně používané formy studia, prezenční, distanční a kombinovaná, vznikly v době, kdy se předpokládalo, že student buď studuje „denně“, nebo „při zaměstnání“, případně „na dálku“. Tento model však dnes neodpovídá tomu, jak se studium skutečně odehrává. Vysoké školy běžně kombinují prezenční výuku, online výuku, blokovou výuku, praxi, stáže či samostatné studium. Rozdíly mezi formami se tak staly nejasnými, administrativními a často umělými. Model full-time/part</w:t>
      </w:r>
      <w:r>
        <w:rPr>
          <w:rFonts w:cs="Cambria Math" w:ascii="Cambria Math" w:hAnsi="Cambria Math"/>
          <w:color w:val="0D0D0D"/>
          <w:kern w:val="2"/>
          <w14:ligatures w14:val="standardContextual"/>
        </w:rPr>
        <w:t>-</w:t>
      </w:r>
      <w:r>
        <w:rPr>
          <w:rFonts w:cs="Arial"/>
          <w:color w:val="0D0D0D"/>
          <w:kern w:val="2"/>
          <w14:ligatures w14:val="standardContextual"/>
        </w:rPr>
        <w:t xml:space="preserve">time studia vychází z reálné studijní zátěže, je mezinárodně srozumitelný, podporuje flexibilní studijní cesty a snižuje administrativní náročnost pro vysoké školy i studenty. </w:t>
      </w:r>
    </w:p>
    <w:p>
      <w:pPr>
        <w:pStyle w:val="Normal"/>
        <w:spacing w:before="0" w:after="160"/>
        <w:jc w:val="both"/>
        <w:rPr>
          <w:rFonts w:cs="Arial"/>
          <w:kern w:val="2"/>
          <w14:ligatures w14:val="standardContextual"/>
        </w:rPr>
      </w:pPr>
      <w:r>
        <w:rPr>
          <w:rFonts w:cs="Arial"/>
          <w:color w:val="0D0D0D"/>
          <w:kern w:val="2"/>
          <w14:ligatures w14:val="standardContextual"/>
        </w:rPr>
        <w:t xml:space="preserve">Uvedené nové formy studia budou moci mít bakalářské, magisterské i doktorské studijní programy; jeden studijní program bude moci mít obě formy studia nebo jen denní formu studia. Při přijímání ke studiu a zápisu uchazeče do studia studijního programu bude vždy určeno, ve které formě studia bude daná osoba studovat.   </w:t>
      </w:r>
    </w:p>
    <w:p>
      <w:pPr>
        <w:pStyle w:val="Normal"/>
        <w:spacing w:before="0" w:after="160"/>
        <w:jc w:val="both"/>
        <w:rPr>
          <w:rFonts w:cs="Arial"/>
          <w:color w:val="000000"/>
          <w:kern w:val="2"/>
          <w14:ligatures w14:val="standardContextual"/>
        </w:rPr>
      </w:pPr>
      <w:r>
        <w:rPr>
          <w:rFonts w:cs="Arial"/>
          <w:color w:val="000000"/>
          <w:kern w:val="2"/>
          <w14:ligatures w14:val="standardContextual"/>
        </w:rPr>
        <w:t>Při denní formě studia bude splnění studijních povinností ve standardní době studia vyžadovat průměrnou studijní zátěž odpovídající získání 30 kreditů ECTS za semestr.</w:t>
      </w:r>
    </w:p>
    <w:p>
      <w:pPr>
        <w:pStyle w:val="Normal"/>
        <w:spacing w:before="0" w:after="160"/>
        <w:jc w:val="both"/>
        <w:rPr>
          <w:rFonts w:cs="Arial"/>
          <w:kern w:val="2"/>
          <w14:ligatures w14:val="standardContextual"/>
        </w:rPr>
      </w:pPr>
      <w:r>
        <w:rPr>
          <w:rFonts w:cs="Arial"/>
          <w:color w:val="000000"/>
          <w:kern w:val="2"/>
          <w14:ligatures w14:val="standardContextual"/>
        </w:rPr>
        <w:t>Při externí formě studia bude studium ve studijním programu rozvolněné do doby přesahující délku standardní doby studia v denní formě, přičemž bude vyžadována studijní zátěž odpovídající získání alespoň takového počtu kreditů ECTS za semestr, který vysoká škola stanoví ve svých vnitřních předpisech. standardní délka studia v externí formě bude nejvýše dvojnásobkem standardní doby studia v denní formě.</w:t>
      </w:r>
    </w:p>
    <w:p>
      <w:pPr>
        <w:pStyle w:val="Normal"/>
        <w:spacing w:before="0" w:after="160"/>
        <w:jc w:val="both"/>
        <w:rPr>
          <w:rFonts w:cs="Arial"/>
          <w:color w:val="000000"/>
          <w:kern w:val="2"/>
          <w14:ligatures w14:val="standardContextual"/>
        </w:rPr>
      </w:pPr>
      <w:r>
        <w:rPr>
          <w:rFonts w:cs="Arial"/>
          <w:color w:val="000000"/>
          <w:kern w:val="2"/>
          <w14:ligatures w14:val="standardContextual"/>
        </w:rPr>
        <w:t>Studium studijního programu v externí formě studia nebude studentovi zakládat status nezaopatřeného dítěte soustavně se připravujícího na budoucí povolání studiem pro účely zákona o státní sociální podpoře a zákona o důchodovém pojištění, jakož i pro účely jiných zákonů nebo jiných právních předpisů, které při vymezení nezaopatřenosti dítěte nebo soustavné přípravy na budoucí povolání studiem odkazují na zákon o státní sociální podpoře nebo na zákon o důchodovém pojištění - například pro účely zákona o veřejném zdravotním pojištění. V uvedeném smyslu budou upraveny související zákony.</w:t>
      </w:r>
    </w:p>
    <w:p>
      <w:pPr>
        <w:pStyle w:val="Normal"/>
        <w:spacing w:before="0" w:after="160"/>
        <w:jc w:val="both"/>
        <w:rPr>
          <w:rFonts w:cs="Arial"/>
          <w:kern w:val="2"/>
          <w14:ligatures w14:val="standardContextual"/>
        </w:rPr>
      </w:pPr>
      <w:r>
        <w:rPr>
          <w:rFonts w:cs="Arial"/>
          <w:color w:val="000000"/>
          <w:kern w:val="2"/>
          <w14:ligatures w14:val="standardContextual"/>
        </w:rPr>
        <w:t>Obě formy studia jsou prostupné. Pro účely stanovení poplatků za studium v souvislosti s překračováním standardní doby studia se 2 akademické roky studia v externí formě studia započítávají jako 1 rok studia v denní formě studia.</w:t>
      </w:r>
    </w:p>
    <w:p>
      <w:pPr>
        <w:pStyle w:val="Normal"/>
        <w:spacing w:before="0" w:after="160"/>
        <w:jc w:val="both"/>
        <w:rPr>
          <w:rFonts w:cs="Arial"/>
          <w:kern w:val="2"/>
          <w14:ligatures w14:val="standardContextual"/>
        </w:rPr>
      </w:pPr>
      <w:r>
        <w:rPr>
          <w:rFonts w:cs="Arial"/>
          <w:color w:val="0D0D0D"/>
          <w:kern w:val="2"/>
          <w14:ligatures w14:val="standardContextual"/>
        </w:rPr>
        <w:t xml:space="preserve">Ve stejném poměru se budou přepočítávat požadavky na délku studia či délku standardní doby studia studijního programu, jsou-li stanoveny jinými právními předpisy pro účely vymezení požadavků na vzdělání připravující pro výkon regulovaného povolání nebo činnosti.  </w:t>
      </w:r>
    </w:p>
    <w:p>
      <w:pPr>
        <w:pStyle w:val="Normal"/>
        <w:spacing w:before="0" w:after="160"/>
        <w:jc w:val="both"/>
        <w:rPr>
          <w:rFonts w:cs="Arial"/>
          <w:b/>
          <w:bCs/>
          <w:kern w:val="2"/>
          <w14:ligatures w14:val="standardContextual"/>
        </w:rPr>
      </w:pPr>
      <w:r>
        <w:rPr>
          <w:rFonts w:cs="Arial"/>
          <w:b/>
          <w:bCs/>
          <w:kern w:val="2"/>
          <w14:ligatures w14:val="standardContextual"/>
        </w:rPr>
        <w:t>4.5.6 Krátké programy</w:t>
      </w:r>
    </w:p>
    <w:p>
      <w:pPr>
        <w:pStyle w:val="Normal"/>
        <w:spacing w:before="0" w:after="160"/>
        <w:jc w:val="both"/>
        <w:rPr>
          <w:rFonts w:cs="Arial"/>
          <w:kern w:val="2"/>
          <w14:ligatures w14:val="standardContextual"/>
        </w:rPr>
      </w:pPr>
      <w:r>
        <w:rPr>
          <w:rFonts w:cs="Arial"/>
          <w:color w:val="000000"/>
          <w:kern w:val="2"/>
          <w14:ligatures w14:val="standardContextual"/>
        </w:rPr>
        <w:t xml:space="preserve">Nový zákon umožní vysokým školám uskutečňovat programy krátkého cyklu terciárního odborného vzdělávání (dále jen “krátký program”) (tzv. short-cycle nebo AP degree), ve standardní délce studia 2 roky, které by poskytly ucelené studium v oblasti profesní přípravy s jasně definovaným profilem absolventa, výsledky učení a nastavenými ECTS. </w:t>
      </w:r>
    </w:p>
    <w:p>
      <w:pPr>
        <w:pStyle w:val="Normal"/>
        <w:spacing w:before="0" w:after="160"/>
        <w:jc w:val="both"/>
        <w:rPr>
          <w:rFonts w:cs="Arial"/>
          <w:kern w:val="2"/>
          <w14:ligatures w14:val="standardContextual"/>
        </w:rPr>
      </w:pPr>
      <w:r>
        <w:rPr>
          <w:rFonts w:cs="Arial"/>
          <w:color w:val="000000"/>
          <w:kern w:val="2"/>
          <w14:ligatures w14:val="standardContextual"/>
        </w:rPr>
        <w:t xml:space="preserve">Krátký program bude zaměřen na přípravu k výkonu povolání, zejména na získání znalostí, dovedností a způsobilostí potřebných k bezprostřednímu a samostatnému výkonu odborných činností ve specializovaném okruhu povolání; může též odpovídat ucelené části bakalářského studijního programu. </w:t>
      </w:r>
    </w:p>
    <w:p>
      <w:pPr>
        <w:pStyle w:val="Normal"/>
        <w:spacing w:before="0" w:after="160"/>
        <w:jc w:val="both"/>
        <w:rPr>
          <w:rFonts w:cs="Arial"/>
          <w:color w:val="000000"/>
          <w:kern w:val="2"/>
          <w14:ligatures w14:val="standardContextual"/>
        </w:rPr>
      </w:pPr>
      <w:r>
        <w:rPr>
          <w:rFonts w:eastAsia="MS PGothic" w:cs="Arial"/>
          <w:kern w:val="2"/>
          <w14:ligatures w14:val="standardContextual"/>
        </w:rPr>
        <w:t xml:space="preserve">Studium v krátkém programu se bude zahajovat zápisem do studia nebo přestupem z bakalářského studijního programu. Studium v krátkém programu bude zakládat jeho účastníkům právní postavení studenta vysoké školy podle zákona o vysokých školách. </w:t>
      </w:r>
      <w:r>
        <w:rPr>
          <w:rFonts w:cs="Arial"/>
          <w:color w:val="000000"/>
          <w:kern w:val="2"/>
          <w14:ligatures w14:val="standardContextual"/>
        </w:rPr>
        <w:t xml:space="preserve">Studium se bude řádně ukončovat státní závěrečnou zkouškou. Státní závěrečná zkouška může mít více částí; částí může být i obhajoba závěrečné profesní práce. Státní závěrečná zkouška může spočívat i jen v obhajobě závěrečné profesní práce. Absolventům vydá vysoká škola o absolvování studia v krátkém programu certifikát (nikoliv diplom) uvedením získaného </w:t>
      </w:r>
      <w:r>
        <w:rPr>
          <w:rFonts w:cs="Arial"/>
          <w:kern w:val="2"/>
          <w14:ligatures w14:val="standardContextual"/>
        </w:rPr>
        <w:t>označení/titulu “</w:t>
      </w:r>
      <w:r>
        <w:rPr>
          <w:rFonts w:cs="Arial"/>
          <w:color w:val="000000"/>
          <w:kern w:val="2"/>
          <w14:ligatures w14:val="standardContextual"/>
        </w:rPr>
        <w:t>profesní specialista”.</w:t>
      </w:r>
      <w:r>
        <w:rPr>
          <w:rFonts w:cs="Arial"/>
          <w:i/>
          <w:iCs/>
          <w:color w:val="0070C0"/>
          <w:kern w:val="2"/>
          <w14:ligatures w14:val="standardContextual"/>
        </w:rPr>
        <w:t xml:space="preserve"> </w:t>
      </w:r>
      <w:r>
        <w:rPr>
          <w:rFonts w:cs="Arial"/>
          <w:color w:val="000000"/>
          <w:kern w:val="2"/>
          <w14:ligatures w14:val="standardContextual"/>
        </w:rPr>
        <w:t xml:space="preserve"> </w:t>
      </w:r>
    </w:p>
    <w:p>
      <w:pPr>
        <w:pStyle w:val="Normal"/>
        <w:spacing w:before="0" w:after="240"/>
        <w:jc w:val="both"/>
        <w:rPr>
          <w:rFonts w:cs="Arial"/>
          <w:color w:val="000000"/>
          <w:kern w:val="2"/>
          <w14:ligatures w14:val="standardContextual"/>
        </w:rPr>
      </w:pPr>
      <w:r>
        <w:rPr>
          <w:rFonts w:eastAsia="MS PGothic" w:cs="Arial"/>
          <w:color w:val="000000"/>
          <w:kern w:val="2"/>
          <w14:ligatures w14:val="standardContextual"/>
        </w:rPr>
        <w:t xml:space="preserve">Toto studium bude uznatelné v rámci bakalářských studijních programů obdobného zaměření. </w:t>
      </w:r>
      <w:r>
        <w:rPr>
          <w:rFonts w:eastAsia="MS PGothic" w:cs="Arial"/>
          <w:kern w:val="2"/>
          <w14:ligatures w14:val="standardContextual"/>
        </w:rPr>
        <w:t xml:space="preserve">Absolventům nebo studentům krátkého programu, pokud se stanou studenty bakalářského nebo magisterského studijního programu, uzná vysoká škola splnění studijních povinností z krátkého programu, jsou-li svým rozsahem a obsahem srovnatelné s uznávanými studijními povinnostmi v bakalářském nebo magisterském studijním programu. </w:t>
      </w:r>
      <w:r>
        <w:rPr>
          <w:rFonts w:cs="Arial"/>
          <w:color w:val="000000"/>
          <w:kern w:val="2"/>
          <w14:ligatures w14:val="standardContextual"/>
        </w:rPr>
        <w:t xml:space="preserve">Prostupnost bude zajištěna i z bakalářských studijních programů do krátkých programů. Krátké programy nebudou podléhat akreditaci. Krátké programy bude moci uskutečňovat pouze vysoká škola, která uskutečňuje obdobně zaměřené bakalářské studijní programy. </w:t>
      </w:r>
    </w:p>
    <w:p>
      <w:pPr>
        <w:pStyle w:val="Normal"/>
        <w:spacing w:before="0" w:after="160"/>
        <w:jc w:val="both"/>
        <w:rPr>
          <w:rFonts w:cs="Arial"/>
          <w:b/>
          <w:bCs/>
          <w:kern w:val="2"/>
          <w14:ligatures w14:val="standardContextual"/>
        </w:rPr>
      </w:pPr>
      <w:r>
        <w:rPr>
          <w:rFonts w:cs="Arial"/>
          <w:b/>
          <w:bCs/>
          <w:kern w:val="2"/>
          <w14:ligatures w14:val="standardContextual"/>
        </w:rPr>
        <w:t xml:space="preserve">4.5.7 Společné studijní programy (joint/multiple/double degree) </w:t>
      </w:r>
    </w:p>
    <w:p>
      <w:pPr>
        <w:pStyle w:val="Normal"/>
        <w:spacing w:before="0" w:after="160"/>
        <w:jc w:val="both"/>
        <w:rPr>
          <w:rFonts w:cs="Arial"/>
          <w:color w:val="0D0D0D"/>
          <w:kern w:val="2"/>
          <w14:ligatures w14:val="standardContextual"/>
        </w:rPr>
      </w:pPr>
      <w:r>
        <w:rPr>
          <w:rFonts w:cs="Arial"/>
          <w:color w:val="0D0D0D"/>
          <w:kern w:val="2"/>
          <w14:ligatures w14:val="standardContextual"/>
        </w:rPr>
        <w:t>Nová právní úprava jasně vymezí společné studijní programy vysokých škol uskutečňované ve spolupráci více vysokých škol, z nichž alespoň jedna je tuzemská a alespoň jedna zahraniční (nový zákon zakotví možnost odchylek od obecné úpravy například pro přijímací řízení, harmonogram akademického roku, závěrečné zkoušky, náležitosti diplomu). Zákon ukotví i výše již zmíněnou možnost společný studijní program akreditovat v souladu s principy stanovenými v již zmíněném Dokumentu EA (tzv. European Approach for Quality Assurance of Joint Programmes</w:t>
      </w:r>
      <w:r>
        <w:rPr>
          <w:rFonts w:cs="Arial"/>
          <w:color w:val="545860"/>
          <w:kern w:val="2"/>
          <w14:ligatures w14:val="standardContextual"/>
        </w:rPr>
        <w:t xml:space="preserve"> (</w:t>
      </w:r>
      <w:hyperlink r:id="rId3">
        <w:r>
          <w:rPr>
            <w:rStyle w:val="Style"/>
            <w:rFonts w:cs="Arial"/>
            <w:color w:val="00459B"/>
            <w:kern w:val="2"/>
            <w:u w:val="single"/>
            <w14:ligatures w14:val="standardContextual"/>
          </w:rPr>
          <w:t>European Approach for Quality Assurance of Joint Programmes</w:t>
        </w:r>
      </w:hyperlink>
      <w:r>
        <w:rPr>
          <w:rFonts w:cs="Arial"/>
          <w:color w:val="545860"/>
          <w:kern w:val="2"/>
          <w14:ligatures w14:val="standardContextual"/>
        </w:rPr>
        <w:t>).</w:t>
      </w:r>
    </w:p>
    <w:p>
      <w:pPr>
        <w:pStyle w:val="Normal"/>
        <w:spacing w:before="0" w:after="160"/>
        <w:jc w:val="both"/>
        <w:rPr>
          <w:rFonts w:cs="Arial"/>
          <w:color w:val="0D0D0D"/>
          <w:kern w:val="2"/>
          <w14:ligatures w14:val="standardContextual"/>
        </w:rPr>
      </w:pPr>
      <w:r>
        <w:rPr>
          <w:rFonts w:cs="Arial"/>
          <w:color w:val="0D0D0D"/>
          <w:kern w:val="2"/>
          <w14:ligatures w14:val="standardContextual"/>
        </w:rPr>
        <w:t>Společný studijní program vysokých škol je studijní program společně navržený, koordinovaný a uskutečňovaný dvěma nebo více vysokými školami (sdruženými případně v konsorcium vysokých škol), zpravidla z různých států, který je založen na společně stanovených cílech, výsledcích učení, studijním plánu a pravidlech jeho realizace a vede k vydání společného, dvojího nebo vícenásobného vysokoškolského diplomu nebo udělení jednoho společného akademického titulu nebo dvou nebo více akademických titulů. Pro uskutečňování společných studijních programů může být vnitřním předpisem vysoké školy upraven harmonogram akademického roku odlišně. Pokud jednotlivé vysoké školy v konsorciu nevydají jeden společný diplom, musí být na každém uděleném diplomu informace, že diplom je platný pouze s ostatními vydanými diplomy. Za absolvování společného studijního programu nemusí česká vysoká škola udělit titul dle zákona o vysokých školách, ale může se připojit k udělení titulu jinou vysokou školou z konsorcia. Na uskutečňování společných studijních programů se nevztahuje obecná úprava zákona o podmínkách poplatků nebo úhrady za studium, ale tyto poplatky nebo úhrady si spolupracující vysoká škola upraví v rámci svých vnitřních předpisů. Tato výjimka je potřebná zejména kvůli realizaci řady společných studijních programů uskutečňovaných v rámci programů Evropské unie, které tyto aktivity finančně podporují a jejichž pravidla nastavení poplatků regulují.</w:t>
      </w:r>
    </w:p>
    <w:p>
      <w:pPr>
        <w:pStyle w:val="Normal"/>
        <w:spacing w:before="0" w:after="160"/>
        <w:jc w:val="both"/>
        <w:rPr>
          <w:rFonts w:cs="Arial"/>
          <w:b/>
          <w:bCs/>
          <w:kern w:val="2"/>
          <w14:ligatures w14:val="standardContextual"/>
        </w:rPr>
      </w:pPr>
      <w:r>
        <w:rPr>
          <w:rFonts w:cs="Arial"/>
          <w:b/>
          <w:bCs/>
          <w:kern w:val="2"/>
          <w14:ligatures w14:val="standardContextual"/>
        </w:rPr>
        <w:t>4.5.8 Celoživotní vzdělávání</w:t>
      </w:r>
    </w:p>
    <w:p>
      <w:pPr>
        <w:pStyle w:val="Normal"/>
        <w:spacing w:before="0" w:after="160"/>
        <w:jc w:val="both"/>
        <w:rPr>
          <w:rFonts w:cs="Arial"/>
          <w:color w:val="0D0D0D"/>
          <w:kern w:val="2"/>
          <w14:ligatures w14:val="standardContextual"/>
        </w:rPr>
      </w:pPr>
      <w:r>
        <w:rPr>
          <w:rFonts w:cs="Arial"/>
          <w:color w:val="0D0D0D"/>
          <w:kern w:val="2"/>
          <w14:ligatures w14:val="standardContextual"/>
        </w:rPr>
        <w:t xml:space="preserve">Celoživotním vzděláváním uskutečňovaným vysokou školou se rozumí vzdělávací činnost poskytovaná mimo akreditované studijní programy a mimo krátké programy; jejímž cílem je získávání, rozvoj, prohlubování, obnova nebo ověřování výsledků učení v průběhu života. </w:t>
      </w:r>
    </w:p>
    <w:p>
      <w:pPr>
        <w:pStyle w:val="Normal"/>
        <w:spacing w:before="0" w:after="160"/>
        <w:jc w:val="both"/>
        <w:rPr>
          <w:rFonts w:cs="Arial"/>
          <w:color w:val="0D0D0D"/>
          <w:kern w:val="2"/>
          <w14:ligatures w14:val="standardContextual"/>
        </w:rPr>
      </w:pPr>
      <w:r>
        <w:rPr>
          <w:rFonts w:cs="Arial"/>
          <w:color w:val="0D0D0D"/>
          <w:kern w:val="2"/>
          <w14:ligatures w14:val="standardContextual"/>
        </w:rPr>
        <w:t>Vysoká škola může v rámci celoživotního vzdělávání poskytovat jednotlivé vzdělávací jednotky nebo jejich soubory, které jsou vymezeny výsledky učení, rozsahem studijní zátěže, podmínkami účasti a způsobem ověření dosažených výsledků učení. O absolvování takové vzdělávací jednotky nebo jejich souboru může vysoká škola vydat osvědčení nebo mikrocertifikát. Absolvování těchto vzdělávacích jednotek může být za podmínek stanovených vnitřním předpisem vysoké školy pro účely plnění studijních povinností ve studijním programu uznáno jako součást studia ve studijním programu.</w:t>
      </w:r>
      <w:r>
        <w:rPr>
          <w:rFonts w:cs="Arial"/>
          <w:color w:val="0D0D0D"/>
          <w:kern w:val="2"/>
          <w:sz w:val="22"/>
          <w:szCs w:val="22"/>
          <w14:ligatures w14:val="standardContextual"/>
        </w:rPr>
        <w:t xml:space="preserve"> </w:t>
      </w:r>
      <w:r>
        <w:rPr>
          <w:rFonts w:cs="Arial"/>
          <w:color w:val="0D0D0D"/>
          <w:kern w:val="2"/>
          <w14:ligatures w14:val="standardContextual"/>
        </w:rPr>
        <w:t xml:space="preserve">Mikrocertifikát je elektronické osvědčení o absolvování jednotky učení malého rozsahu vyjádřeného kredity ECTS a dosažení jasně definovaných a ucelených výsledků učení. Ke každé takové jednotce (předmětu, kurzu, modulu) je přiřazena úroveň EQF (5/6-7). </w:t>
      </w:r>
    </w:p>
    <w:p>
      <w:pPr>
        <w:pStyle w:val="Normal"/>
        <w:spacing w:before="0" w:after="160"/>
        <w:jc w:val="both"/>
        <w:rPr>
          <w:rFonts w:cs="Arial"/>
          <w:color w:val="0D0D0D"/>
          <w:kern w:val="2"/>
          <w14:ligatures w14:val="standardContextual"/>
        </w:rPr>
      </w:pPr>
      <w:r>
        <w:rPr>
          <w:rFonts w:cs="Arial"/>
          <w:color w:val="0D0D0D"/>
          <w:kern w:val="2"/>
          <w14:ligatures w14:val="standardContextual"/>
        </w:rPr>
        <w:t>V souladu s ESG vysoká škola celoživotní vzdělávání integruje do svého vnitřního systému kvality a uplatňuje na něj obdobné standardy jako na vzdělávání ve studijních programech. Kvalita celoživotního vzdělávání se neposuzuje odděleně, ale stejnými procesy a nástroji, které škola používá pro své řádné studium.</w:t>
      </w:r>
    </w:p>
    <w:p>
      <w:pPr>
        <w:pStyle w:val="Normal"/>
        <w:spacing w:before="0" w:after="160"/>
        <w:jc w:val="both"/>
        <w:rPr>
          <w:rFonts w:cs="Arial"/>
          <w:b/>
          <w:bCs/>
          <w:kern w:val="2"/>
          <w14:ligatures w14:val="standardContextual"/>
        </w:rPr>
      </w:pPr>
      <w:r>
        <w:rPr>
          <w:rFonts w:cs="Arial"/>
          <w:b/>
          <w:bCs/>
          <w:kern w:val="2"/>
          <w14:ligatures w14:val="standardContextual"/>
        </w:rPr>
        <w:t>4.5.9 Další úpravy</w:t>
      </w:r>
    </w:p>
    <w:p>
      <w:pPr>
        <w:pStyle w:val="Normal"/>
        <w:spacing w:before="0" w:after="160"/>
        <w:jc w:val="both"/>
        <w:rPr>
          <w:rFonts w:cs="Arial"/>
          <w:kern w:val="2"/>
          <w14:ligatures w14:val="standardContextual"/>
        </w:rPr>
      </w:pPr>
      <w:r>
        <w:rPr>
          <w:rFonts w:cs="Arial"/>
          <w:color w:val="0D0D0D"/>
          <w:kern w:val="2"/>
          <w14:ligatures w14:val="standardContextual"/>
        </w:rPr>
        <w:t>S ohledem na plánované změny ve financování vysokých škol bude nutné nově vyřešit také nastavení služeb pro studenty se specifickými potřebami. Bude nezbytné vytvořit samostatný a jasně vymezený rámec, který zajistí jejich definici a specifikaci. Tento rámec bude upraven vyhláškou MŠMT, aby vysoké školy měly určeny jednoznačné podmínky pro poskytování podpůrných služeb a studenti měli zaručeny srovnatelné podmínky na všech vysokých školách. Rámec by měl také obsahovat nastavení služeb pro studenty v oblasti ochrany duševního zdraví.</w:t>
      </w:r>
    </w:p>
    <w:p>
      <w:pPr>
        <w:pStyle w:val="Normal"/>
        <w:spacing w:before="0" w:after="160"/>
        <w:jc w:val="both"/>
        <w:rPr>
          <w:rFonts w:cs="Arial"/>
          <w:color w:val="0D0D0D"/>
          <w:kern w:val="2"/>
          <w14:ligatures w14:val="standardContextual"/>
        </w:rPr>
      </w:pPr>
      <w:r>
        <w:rPr>
          <w:rFonts w:cs="Arial"/>
          <w:color w:val="0D0D0D"/>
          <w:kern w:val="2"/>
          <w14:ligatures w14:val="standardContextual"/>
        </w:rPr>
      </w:r>
    </w:p>
    <w:p>
      <w:pPr>
        <w:pStyle w:val="Normal"/>
        <w:shd w:val="clear" w:color="auto" w:fill="8DB3E2" w:themeFill="text2" w:themeFillTint="66"/>
        <w:spacing w:before="0" w:after="160"/>
        <w:rPr>
          <w:b/>
          <w:bCs/>
        </w:rPr>
      </w:pPr>
      <w:r>
        <w:rPr>
          <w:b/>
          <w:bCs/>
        </w:rPr>
        <w:t>4.6 Státní vysoké školy</w:t>
      </w:r>
    </w:p>
    <w:p>
      <w:pPr>
        <w:pStyle w:val="Normal"/>
        <w:spacing w:before="0" w:after="160"/>
        <w:jc w:val="both"/>
        <w:rPr>
          <w:rFonts w:cs="Arial"/>
          <w:color w:val="0D0D0D"/>
          <w:kern w:val="2"/>
          <w14:ligatures w14:val="standardContextual"/>
        </w:rPr>
      </w:pPr>
      <w:r>
        <w:rPr>
          <w:rFonts w:cs="Arial"/>
          <w:color w:val="0D0D0D"/>
          <w:kern w:val="2"/>
          <w14:ligatures w14:val="standardContextual"/>
        </w:rPr>
        <w:t xml:space="preserve">Nový zákon o vysokých školách stanoví pro vojenské a policejní vysoké školy speciální úpravu (odchylující se od úpravy týkající se veřejných vysokých škol), v níž bude přiměřeně zohledněn mj. rozdílný právní status státních vysokých škol (vojenská vysoká škola bude i nadále součástí Ministerstva obrany a policejní vysoká škola bude i nadále organizační složkou České republiky, k níž funkci zřizovatele plní Ministerstvo vnitra) a jejich studentů, členů orgánů a akademických pracovníků (z nichž část tvoří vojáci v činné službě nebo příslušníci Policie České republiky nebo dalších bezpečnostních sborů ve služebním poměru, podléhající i právním předpisům z oblasti obrany a bezpečnosti). Zohledněn bude i veřejný zájem na zajištění obrany a bezpečnosti České republiky.  </w:t>
      </w:r>
    </w:p>
    <w:p>
      <w:pPr>
        <w:pStyle w:val="Normal"/>
        <w:spacing w:before="0" w:after="160"/>
        <w:jc w:val="both"/>
        <w:rPr>
          <w:rFonts w:cs="Arial"/>
          <w:color w:val="0D0D0D"/>
          <w:kern w:val="2"/>
          <w14:ligatures w14:val="standardContextual"/>
        </w:rPr>
      </w:pPr>
      <w:r>
        <w:rPr>
          <w:rFonts w:cs="Arial"/>
          <w:color w:val="0D0D0D"/>
          <w:kern w:val="2"/>
          <w14:ligatures w14:val="standardContextual"/>
        </w:rPr>
        <w:t>Na státních vysokých školách nebude zřizována univerzitní rada, zvláštní působnosti a pravomoci budou zákonem svěřeny Ministerstvu vnitra a Ministerstvu obrany, státním vysokým školám bude stanovena obecná povinnost vytvořit transparentní systém akademických kariér a pravidelného hodnocení akademických pracovníků, studium cizinců na vojenské vysoké škole bude podmíněno souhlasem Ministerstva obrany, přijímání uchazečů ke studiu se bude řídit požadavky Ministerstva vnitra v případě policejní vysoké školy a Ministerstva obrany v případě vojenské vysoké školy, speciálně bude upraveno zpřístupňování výsledků vědy nebo výzkumu a vývoje a závěrečných prací a stanoveny budou i další vhodné odchylky.</w:t>
      </w:r>
    </w:p>
    <w:p>
      <w:pPr>
        <w:pStyle w:val="Normal"/>
        <w:rPr/>
      </w:pPr>
      <w:r>
        <w:rPr/>
      </w:r>
    </w:p>
    <w:p>
      <w:pPr>
        <w:pStyle w:val="Heading2"/>
        <w:shd w:val="clear" w:color="auto" w:fill="548DD4" w:themeFill="text2" w:themeFillTint="99"/>
        <w:rPr>
          <w:color w:val="auto"/>
        </w:rPr>
      </w:pPr>
      <w:r>
        <w:rPr>
          <w:rFonts w:eastAsia="Arial" w:ascii="Arial" w:hAnsi="Arial"/>
          <w:color w:val="auto"/>
          <w:sz w:val="20"/>
          <w:szCs w:val="20"/>
        </w:rPr>
        <w:t>5. Promítnutí navrhovaného řešení do právního řádu</w:t>
      </w:r>
    </w:p>
    <w:p>
      <w:pPr>
        <w:pStyle w:val="Normal"/>
        <w:spacing w:before="0" w:after="20"/>
        <w:rPr>
          <w:b/>
          <w:bCs/>
        </w:rPr>
      </w:pPr>
      <w:r>
        <w:rPr>
          <w:b/>
          <w:bCs/>
        </w:rPr>
      </w:r>
    </w:p>
    <w:p>
      <w:pPr>
        <w:pStyle w:val="Normal"/>
        <w:shd w:val="clear" w:color="auto" w:fill="95B3D7" w:themeFill="accent1" w:themeFillTint="99"/>
        <w:spacing w:before="0" w:after="20"/>
        <w:rPr>
          <w:b/>
        </w:rPr>
      </w:pPr>
      <w:r>
        <w:rPr>
          <w:b/>
          <w:bCs/>
        </w:rPr>
        <w:t>5.1 Způsob promítnutí navrhovaného řešení do právního řádu a účinnost</w:t>
      </w:r>
    </w:p>
    <w:p>
      <w:pPr>
        <w:pStyle w:val="Normal"/>
        <w:spacing w:before="0" w:after="20"/>
        <w:ind w:start="340"/>
        <w:rPr/>
      </w:pPr>
      <w:r>
        <w:rPr/>
      </w:r>
    </w:p>
    <w:p>
      <w:pPr>
        <w:pStyle w:val="Normal"/>
        <w:jc w:val="both"/>
        <w:rPr/>
      </w:pPr>
      <w:r>
        <w:rPr>
          <w:rFonts w:cs="Arial"/>
        </w:rPr>
        <w:t xml:space="preserve">Navrhované řešení představuje koncepčně novou právní úpravu stěžejních témat legislativy vysokého školství, kterou lze efektivně provést pouze prostřednictvím nového zákona o vysokých školách, který v plném rozsahu nahradí stávající zákon o vysokých školách (zákon č. 111/1998 Sb., ve znění pozdějších předpisů). </w:t>
      </w:r>
    </w:p>
    <w:p>
      <w:pPr>
        <w:pStyle w:val="Normal"/>
        <w:jc w:val="both"/>
        <w:rPr>
          <w:rFonts w:cs="Arial"/>
          <w:b/>
          <w:bCs/>
          <w:highlight w:val="green"/>
        </w:rPr>
      </w:pPr>
      <w:r>
        <w:rPr>
          <w:rFonts w:cs="Arial"/>
          <w:b/>
          <w:bCs/>
          <w:highlight w:val="green"/>
        </w:rPr>
      </w:r>
    </w:p>
    <w:p>
      <w:pPr>
        <w:pStyle w:val="Normal"/>
        <w:jc w:val="both"/>
        <w:rPr/>
      </w:pPr>
      <w:r>
        <w:rPr>
          <w:rFonts w:cs="Arial"/>
        </w:rPr>
        <w:t>Nový zákon o vysokých školách zachová základní principy autonomie vysokých škol, akademických svobod a odpovědnosti za kvalitu, avšak nově upraví klíčové instituty fungování vysokého školství. Přijetí nové kodifikace vysokého školství umožní:</w:t>
      </w:r>
    </w:p>
    <w:p>
      <w:pPr>
        <w:pStyle w:val="ListParagraph"/>
        <w:numPr>
          <w:ilvl w:val="0"/>
          <w:numId w:val="43"/>
        </w:numPr>
        <w:jc w:val="both"/>
        <w:rPr>
          <w:rFonts w:cs="Arial"/>
        </w:rPr>
      </w:pPr>
      <w:r>
        <w:rPr>
          <w:rFonts w:cs="Arial"/>
        </w:rPr>
        <w:t xml:space="preserve">nově systematicky uspořádat právní úpravu, </w:t>
      </w:r>
    </w:p>
    <w:p>
      <w:pPr>
        <w:pStyle w:val="ListParagraph"/>
        <w:numPr>
          <w:ilvl w:val="0"/>
          <w:numId w:val="43"/>
        </w:numPr>
        <w:jc w:val="both"/>
        <w:rPr>
          <w:rFonts w:cs="Arial"/>
        </w:rPr>
      </w:pPr>
      <w:r>
        <w:rPr>
          <w:rFonts w:cs="Arial"/>
        </w:rPr>
        <w:t xml:space="preserve">odstranit historicky vzniklé nesrovnalosti, </w:t>
      </w:r>
    </w:p>
    <w:p>
      <w:pPr>
        <w:pStyle w:val="ListParagraph"/>
        <w:numPr>
          <w:ilvl w:val="0"/>
          <w:numId w:val="43"/>
        </w:numPr>
        <w:jc w:val="both"/>
        <w:rPr>
          <w:rFonts w:cs="Arial"/>
        </w:rPr>
      </w:pPr>
      <w:r>
        <w:rPr>
          <w:rFonts w:cs="Arial"/>
        </w:rPr>
        <w:t>vytvořit jednotný rámec pro financování, kvalitu a řízení.</w:t>
      </w:r>
    </w:p>
    <w:p>
      <w:pPr>
        <w:pStyle w:val="ListParagraph"/>
        <w:jc w:val="both"/>
        <w:rPr>
          <w:rFonts w:cs="Arial"/>
        </w:rPr>
      </w:pPr>
      <w:r>
        <w:rPr>
          <w:rFonts w:cs="Arial"/>
        </w:rPr>
      </w:r>
    </w:p>
    <w:p>
      <w:pPr>
        <w:pStyle w:val="Normal"/>
        <w:jc w:val="both"/>
        <w:rPr/>
      </w:pPr>
      <w:r>
        <w:rPr>
          <w:rFonts w:cs="Arial"/>
        </w:rPr>
        <w:t xml:space="preserve">Nový zákon o vysokých školách mj. </w:t>
      </w:r>
    </w:p>
    <w:p>
      <w:pPr>
        <w:pStyle w:val="ListParagraph"/>
        <w:numPr>
          <w:ilvl w:val="1"/>
          <w:numId w:val="42"/>
        </w:numPr>
        <w:ind w:hanging="357" w:start="714"/>
        <w:jc w:val="both"/>
        <w:rPr>
          <w:rFonts w:cs="Arial"/>
        </w:rPr>
      </w:pPr>
      <w:r>
        <w:rPr>
          <w:rFonts w:cs="Arial"/>
        </w:rPr>
        <w:t>v oblasti řízení veřejných vysokých škol nově vymezí orgány vysokých škol a jejich součástí, jejich kompetence a vzájemné vztahy s cílem posílit jednoznačnost odpovědnosti za strategické řízení a hospodaření vysokých škol.</w:t>
      </w:r>
    </w:p>
    <w:p>
      <w:pPr>
        <w:pStyle w:val="ListParagraph"/>
        <w:numPr>
          <w:ilvl w:val="1"/>
          <w:numId w:val="42"/>
        </w:numPr>
        <w:ind w:hanging="357" w:start="714"/>
        <w:jc w:val="both"/>
        <w:rPr>
          <w:rFonts w:cs="Arial"/>
        </w:rPr>
      </w:pPr>
      <w:r>
        <w:rPr>
          <w:rFonts w:cs="Arial"/>
        </w:rPr>
        <w:t>v oblasti financování zavede kontraktové financování veřejných vysokých škol založené na víceletých smlouvách mezi státem a veřejnými vysokými školami,</w:t>
      </w:r>
    </w:p>
    <w:p>
      <w:pPr>
        <w:pStyle w:val="ListParagraph"/>
        <w:numPr>
          <w:ilvl w:val="1"/>
          <w:numId w:val="42"/>
        </w:numPr>
        <w:ind w:hanging="357" w:start="714"/>
        <w:jc w:val="both"/>
        <w:rPr>
          <w:rFonts w:cs="Arial"/>
        </w:rPr>
      </w:pPr>
      <w:r>
        <w:rPr>
          <w:rFonts w:cs="Arial"/>
        </w:rPr>
        <w:t xml:space="preserve">v oblasti kvality a akreditací zruší oblasti vzdělávání, zreformuje systém akreditací, zavede institucionální audity, posílí odpovědnosti vysokých škol za vlastní systémy kvality, </w:t>
      </w:r>
    </w:p>
    <w:p>
      <w:pPr>
        <w:pStyle w:val="ListParagraph"/>
        <w:numPr>
          <w:ilvl w:val="1"/>
          <w:numId w:val="42"/>
        </w:numPr>
        <w:ind w:hanging="357" w:start="714"/>
        <w:jc w:val="both"/>
        <w:rPr>
          <w:rFonts w:cs="Arial"/>
        </w:rPr>
      </w:pPr>
      <w:r>
        <w:rPr>
          <w:rFonts w:cs="Arial"/>
        </w:rPr>
        <w:t>v oblasti studia zmodernizuje právní úpravu přijímacího řízení, forem studia a souvisejících procesů s důrazem na flexibilitu,</w:t>
      </w:r>
    </w:p>
    <w:p>
      <w:pPr>
        <w:pStyle w:val="ListParagraph"/>
        <w:numPr>
          <w:ilvl w:val="1"/>
          <w:numId w:val="42"/>
        </w:numPr>
        <w:ind w:hanging="357" w:start="714"/>
        <w:jc w:val="both"/>
        <w:rPr>
          <w:rFonts w:cs="Arial"/>
        </w:rPr>
      </w:pPr>
      <w:r>
        <w:rPr>
          <w:rFonts w:cs="Arial"/>
        </w:rPr>
        <w:t xml:space="preserve">v oblasti akademických kariér zavede systém funkčních míst docentů a profesorů vysokých škol a přemění současný systém akademických kariér do čtyř kariérních stupňů, </w:t>
      </w:r>
    </w:p>
    <w:p>
      <w:pPr>
        <w:pStyle w:val="ListParagraph"/>
        <w:numPr>
          <w:ilvl w:val="1"/>
          <w:numId w:val="42"/>
        </w:numPr>
        <w:ind w:hanging="357" w:start="714"/>
        <w:jc w:val="both"/>
        <w:rPr>
          <w:rFonts w:cs="Arial"/>
        </w:rPr>
      </w:pPr>
      <w:r>
        <w:rPr>
          <w:rFonts w:cs="Arial"/>
        </w:rPr>
        <w:t>stanoví odchylky v právní úpravě pro státní vysoké školy.</w:t>
      </w:r>
    </w:p>
    <w:p>
      <w:pPr>
        <w:pStyle w:val="Normal"/>
        <w:jc w:val="both"/>
        <w:rPr>
          <w:rFonts w:cs="Arial"/>
          <w:b/>
          <w:bCs/>
          <w:highlight w:val="green"/>
        </w:rPr>
      </w:pPr>
      <w:r>
        <w:rPr>
          <w:rFonts w:cs="Arial"/>
          <w:b/>
          <w:bCs/>
          <w:highlight w:val="green"/>
        </w:rPr>
      </w:r>
    </w:p>
    <w:p>
      <w:pPr>
        <w:pStyle w:val="Normal"/>
        <w:jc w:val="both"/>
        <w:rPr/>
      </w:pPr>
      <w:r>
        <w:rPr>
          <w:rFonts w:cs="Arial"/>
        </w:rPr>
        <w:t>V otázkách, které v bodě 4 věcného záměru nejsou výslovně zmíněny, bude v zásadě přebírána právní úprava ze současného zákona o vysokých školách.</w:t>
      </w:r>
    </w:p>
    <w:p>
      <w:pPr>
        <w:pStyle w:val="Normal"/>
        <w:rPr>
          <w:rFonts w:cs="Arial"/>
        </w:rPr>
      </w:pPr>
      <w:r>
        <w:rPr>
          <w:rFonts w:cs="Arial"/>
        </w:rPr>
      </w:r>
    </w:p>
    <w:p>
      <w:pPr>
        <w:pStyle w:val="Normal"/>
        <w:jc w:val="both"/>
        <w:rPr>
          <w:rFonts w:cs="Arial"/>
        </w:rPr>
      </w:pPr>
      <w:r>
        <w:rPr>
          <w:rFonts w:cs="Arial"/>
        </w:rPr>
        <w:t>Přičemž přijetí nového zákona o vysokých školách a věcné změny uváděných okruhů právní úpravy, promítnuté do nového zákona o vysokých školách, mohou vyvolat potřebu novelizace zákonů nebo dalších právních předpisů, které v textu používají pojmů z oblasti vysokoškolské terminologie, k jejichž zrušení, transformaci nebo změně významu dojde, a změny předpisů, které na zákon o vysokých školách odkazují.</w:t>
      </w:r>
    </w:p>
    <w:p>
      <w:pPr>
        <w:pStyle w:val="Normal"/>
        <w:rPr>
          <w:rFonts w:cs="Arial"/>
        </w:rPr>
      </w:pPr>
      <w:r>
        <w:rPr>
          <w:rFonts w:cs="Arial"/>
        </w:rPr>
      </w:r>
    </w:p>
    <w:p>
      <w:pPr>
        <w:pStyle w:val="Normal"/>
        <w:rPr>
          <w:rFonts w:cs="Arial"/>
        </w:rPr>
      </w:pPr>
      <w:r>
        <w:rPr>
          <w:rFonts w:cs="Arial"/>
        </w:rPr>
        <w:t xml:space="preserve">Zejména se to může týkat právních předpisů, </w:t>
      </w:r>
    </w:p>
    <w:p>
      <w:pPr>
        <w:pStyle w:val="Normal"/>
        <w:jc w:val="both"/>
        <w:rPr>
          <w:rFonts w:cs="Arial"/>
        </w:rPr>
      </w:pPr>
      <w:r>
        <w:rPr>
          <w:rFonts w:cs="Arial"/>
        </w:rPr>
      </w:r>
    </w:p>
    <w:p>
      <w:pPr>
        <w:pStyle w:val="ListParagraph"/>
        <w:numPr>
          <w:ilvl w:val="1"/>
          <w:numId w:val="4"/>
        </w:numPr>
        <w:tabs>
          <w:tab w:val="clear" w:pos="720"/>
        </w:tabs>
        <w:jc w:val="both"/>
        <w:rPr/>
      </w:pPr>
      <w:r>
        <w:rPr>
          <w:rFonts w:cs="Arial"/>
        </w:rPr>
        <w:t>v nichž se dosud nerozlišuje nebo naopak rozlišuje forma studia studijního programu a které by mohly být přímo nebo nepřímo dotčeny transformací dosavadních forem studia do denní formy studia (s plnou studijní zátěží, „full-time“) nebo externí formy studia (s rozloženou studijní zátěží, „part-time“) (např. předpisy upravující nějakou formu pomoci studentům při studiu nebo jejich postavení, nezaopatřenost, soustavnou přípravu na budoucí povolání apod.),</w:t>
      </w:r>
    </w:p>
    <w:p>
      <w:pPr>
        <w:pStyle w:val="ListParagraph"/>
        <w:numPr>
          <w:ilvl w:val="1"/>
          <w:numId w:val="4"/>
        </w:numPr>
        <w:tabs>
          <w:tab w:val="clear" w:pos="720"/>
        </w:tabs>
        <w:jc w:val="both"/>
        <w:rPr/>
      </w:pPr>
      <w:r>
        <w:rPr>
          <w:rFonts w:cs="Arial"/>
        </w:rPr>
        <w:t>užívající pojem „oblast vzdělávání“ ve smyslu dle současného zákona o vysokých školách (např. předpisy upravující způsobilost k výkonu regulovaných povolání nebo přípravu k výkonu regulovaných povolání),</w:t>
      </w:r>
    </w:p>
    <w:p>
      <w:pPr>
        <w:pStyle w:val="ListParagraph"/>
        <w:numPr>
          <w:ilvl w:val="1"/>
          <w:numId w:val="4"/>
        </w:numPr>
        <w:tabs>
          <w:tab w:val="clear" w:pos="720"/>
        </w:tabs>
        <w:jc w:val="both"/>
        <w:rPr/>
      </w:pPr>
      <w:r>
        <w:rPr>
          <w:rFonts w:cs="Arial"/>
        </w:rPr>
        <w:t>které obsahují přímý odkaz na konkrétní ustanovení zákona o vysokých školách v normativní části textu.</w:t>
      </w:r>
    </w:p>
    <w:p>
      <w:pPr>
        <w:pStyle w:val="Normal"/>
        <w:rPr>
          <w:rFonts w:cs="Arial"/>
        </w:rPr>
      </w:pPr>
      <w:r>
        <w:rPr>
          <w:rFonts w:cs="Arial"/>
        </w:rPr>
      </w:r>
    </w:p>
    <w:p>
      <w:pPr>
        <w:pStyle w:val="Normal"/>
        <w:rPr>
          <w:rFonts w:cs="Arial"/>
        </w:rPr>
      </w:pPr>
      <w:r>
        <w:rPr>
          <w:rFonts w:cs="Arial"/>
        </w:rPr>
        <w:t>Míra zásahů do jiných právních předpisů bude určena také konstrukcí přechodných ustanovení, přičemž záměrem bude omezit úpravy jiných právních předpisů jen na potřebné minimum.</w:t>
      </w:r>
    </w:p>
    <w:p>
      <w:pPr>
        <w:pStyle w:val="Normal"/>
        <w:rPr>
          <w:rFonts w:cs="Arial"/>
        </w:rPr>
      </w:pPr>
      <w:r>
        <w:rPr>
          <w:rFonts w:cs="Arial"/>
        </w:rPr>
      </w:r>
    </w:p>
    <w:p>
      <w:pPr>
        <w:pStyle w:val="Normal"/>
        <w:jc w:val="both"/>
        <w:rPr>
          <w:b/>
          <w:bCs/>
        </w:rPr>
      </w:pPr>
      <w:r>
        <w:rPr>
          <w:b/>
          <w:bCs/>
        </w:rPr>
        <w:t>Účinnost</w:t>
      </w:r>
    </w:p>
    <w:p>
      <w:pPr>
        <w:pStyle w:val="Normal"/>
        <w:jc w:val="both"/>
        <w:rPr/>
      </w:pPr>
      <w:r>
        <w:rPr/>
      </w:r>
    </w:p>
    <w:p>
      <w:pPr>
        <w:pStyle w:val="Normal"/>
        <w:jc w:val="both"/>
        <w:rPr/>
      </w:pPr>
      <w:r>
        <w:rPr/>
        <w:t>Předpokládané datum nabytí účinnosti nového zákona o vysokých školách je 1. 10. 2028. Přechodnými ustanoveními budou pro jednotlivé oblasti úpravy stanovena přechodná období (viz výše) tak, aby se adresáti mohli přizpůsobit právnímu režimu nového zákona.</w:t>
      </w:r>
    </w:p>
    <w:p>
      <w:pPr>
        <w:pStyle w:val="Normal"/>
        <w:rPr/>
      </w:pPr>
      <w:r>
        <w:rPr/>
      </w:r>
    </w:p>
    <w:p>
      <w:pPr>
        <w:pStyle w:val="Normal"/>
        <w:shd w:val="clear" w:color="auto" w:fill="95B3D7" w:themeFill="accent1" w:themeFillTint="99"/>
        <w:spacing w:before="0" w:after="160"/>
        <w:jc w:val="both"/>
        <w:rPr>
          <w:b/>
          <w:bCs/>
        </w:rPr>
      </w:pPr>
      <w:r>
        <w:rPr>
          <w:b/>
          <w:bCs/>
        </w:rPr>
        <w:t>5.2 Soulad s ústavním pořádkem České republiky</w:t>
      </w:r>
    </w:p>
    <w:p>
      <w:pPr>
        <w:pStyle w:val="Normal"/>
        <w:spacing w:before="0" w:after="160"/>
        <w:jc w:val="both"/>
        <w:rPr>
          <w:bCs/>
        </w:rPr>
      </w:pPr>
      <w:r>
        <w:rPr>
          <w:bCs/>
        </w:rPr>
        <w:t>Navrhovaná právní úprava obsažená v novém zákoně o vysokých školách je slučitelná s ústavním pořádkem České republiky. To platí jak pro nově navrhované instituty, tak pro právní úpravu převzatou ze stávajícího zákona o vysokých školách. Následující části shrnují ústavní souvislosti relevantní vzhledem k novému uspořádání vysokoškolského systému.</w:t>
      </w:r>
    </w:p>
    <w:p>
      <w:pPr>
        <w:pStyle w:val="Normal"/>
        <w:spacing w:before="0" w:after="160"/>
        <w:jc w:val="both"/>
        <w:rPr>
          <w:bCs/>
          <w:i/>
          <w:iCs/>
        </w:rPr>
      </w:pPr>
      <w:r>
        <w:rPr>
          <w:bCs/>
          <w:i/>
          <w:iCs/>
        </w:rPr>
        <w:t>5.2.1 Obecná východiska – demokratický právní stát a výhrada zákona</w:t>
      </w:r>
    </w:p>
    <w:p>
      <w:pPr>
        <w:pStyle w:val="Normal"/>
        <w:spacing w:before="0" w:after="160"/>
        <w:jc w:val="both"/>
        <w:rPr>
          <w:bCs/>
        </w:rPr>
      </w:pPr>
      <w:r>
        <w:rPr>
          <w:bCs/>
        </w:rPr>
        <w:t>Návrh vychází z čl. 1 odst. 1 Ústavy ČR a respektuje čl. 2 odst. 3 Ústavy ČR a čl. 2 odst. 2 Listiny, podle nichž lze veřejnou moc vykonávat pouze na základě zákona.</w:t>
      </w:r>
    </w:p>
    <w:p>
      <w:pPr>
        <w:pStyle w:val="Normal"/>
        <w:spacing w:before="0" w:after="160"/>
        <w:jc w:val="both"/>
        <w:rPr>
          <w:bCs/>
        </w:rPr>
      </w:pPr>
      <w:r>
        <w:rPr>
          <w:bCs/>
        </w:rPr>
        <w:t>Vzhledem k tomu, že vysoké školy vykonávají vedle vzdělávací a tvůrčí činnosti též veřejnou správu, návrh rozlišuje orgány vykonávající veřejnou moc, orgány samosprávné a řídicí a orgány poradní. Děkan nebude samostatným správním orgánem, ale bude jednat za vysokou školu v rozsahu pravomocí delegovaných rektorem. Delegovaná působnost zůstane působností vysoké školy a bude podléhat odpovědnosti i přezkumu.</w:t>
      </w:r>
    </w:p>
    <w:p>
      <w:pPr>
        <w:pStyle w:val="Normal"/>
        <w:spacing w:before="0" w:after="160"/>
        <w:jc w:val="both"/>
        <w:rPr>
          <w:bCs/>
        </w:rPr>
      </w:pPr>
      <w:r>
        <w:rPr>
          <w:bCs/>
        </w:rPr>
        <w:t>Návrh je rovněž v souladu s čl. 79 odst. 1 Ústavy ČR. Pravomoci ministerstva školství a Akreditačního úřadu budou stanoveny zákonem a podzákonné ani vnitřní předpisy nebudou moci zakládat nebo rozšiřovat veřejnoprávní pravomoci nad rámec zákona.</w:t>
      </w:r>
    </w:p>
    <w:p>
      <w:pPr>
        <w:pStyle w:val="Normal"/>
        <w:spacing w:before="0" w:after="160"/>
        <w:jc w:val="both"/>
        <w:rPr>
          <w:bCs/>
          <w:i/>
          <w:iCs/>
        </w:rPr>
      </w:pPr>
      <w:r>
        <w:rPr>
          <w:bCs/>
          <w:i/>
          <w:iCs/>
        </w:rPr>
        <w:t>5.2.2 Akademická svoboda a institucionální autonomie veřejných vysokých škol</w:t>
      </w:r>
    </w:p>
    <w:p>
      <w:pPr>
        <w:pStyle w:val="Normal"/>
        <w:spacing w:before="0" w:after="160"/>
        <w:jc w:val="both"/>
        <w:rPr>
          <w:bCs/>
        </w:rPr>
      </w:pPr>
      <w:r>
        <w:rPr>
          <w:bCs/>
        </w:rPr>
        <w:t>Základním ústavním východiskem je čl. 15 odst. 2 Listiny.</w:t>
      </w:r>
    </w:p>
    <w:p>
      <w:pPr>
        <w:pStyle w:val="Normal"/>
        <w:spacing w:before="0" w:after="160"/>
        <w:jc w:val="both"/>
        <w:rPr>
          <w:bCs/>
        </w:rPr>
      </w:pPr>
      <w:r>
        <w:rPr>
          <w:bCs/>
        </w:rPr>
        <w:t>Ústavní soud v usnesení sp. zn. II. ÚS 3764/12 ze dne 6. 3. 2014 dovodil, že součástí institucionální složky svobody vědeckého bádání je autonomie vysokých škol, zahrnující i jejich nezávislost na veřejné moci. Nejvyšší správní soud v rozsudku čj. 1 As 312/2020-39 zdůraznil, že rozhodování o odborných otázkách náleží autonomní sféře vysokých škol a nemá být přeneseno na exekutivu.</w:t>
      </w:r>
    </w:p>
    <w:p>
      <w:pPr>
        <w:pStyle w:val="Normal"/>
        <w:spacing w:before="0" w:after="160"/>
        <w:jc w:val="both"/>
        <w:rPr>
          <w:bCs/>
        </w:rPr>
      </w:pPr>
      <w:r>
        <w:rPr>
          <w:bCs/>
        </w:rPr>
        <w:t>Z judikatury vyplývá, že ústavně chráněna je autonomie vysoké školy jako institucionální hodnota, nikoli konkrétní organizační model. Ústavní soud současně v usnesení III. ÚS 3222/23 ze dne 18. 4. 2024 potvrdil široký prostor zákonodárce pro úpravu vztahů mezi orgány vysokých škol.</w:t>
      </w:r>
    </w:p>
    <w:p>
      <w:pPr>
        <w:pStyle w:val="Normal"/>
        <w:spacing w:before="0" w:after="160"/>
        <w:jc w:val="both"/>
        <w:rPr>
          <w:bCs/>
        </w:rPr>
      </w:pPr>
      <w:r>
        <w:rPr>
          <w:bCs/>
        </w:rPr>
        <w:t>Navrhovaný model zachovává institucionální nezávislost vysokých škol, ponechává odborné, vzdělávací a vědecké otázky v rukou akademických orgánů a zachovává účast akademické obce na správě vysoké školy. Rozdělení pravomocí mezi univerzitní radu, rektora a akademický senát proto představuje ústavně konformní změnu modelu samosprávy, nikoli její odstranění.</w:t>
      </w:r>
    </w:p>
    <w:p>
      <w:pPr>
        <w:pStyle w:val="Normal"/>
        <w:spacing w:before="0" w:after="160"/>
        <w:jc w:val="both"/>
        <w:rPr>
          <w:bCs/>
          <w:i/>
          <w:iCs/>
        </w:rPr>
      </w:pPr>
      <w:r>
        <w:rPr>
          <w:bCs/>
          <w:i/>
          <w:iCs/>
        </w:rPr>
        <w:t>5.2.3 Univerzitní rada a ochrana před politickým vlivem</w:t>
      </w:r>
    </w:p>
    <w:p>
      <w:pPr>
        <w:pStyle w:val="Normal"/>
        <w:spacing w:before="0" w:after="160"/>
        <w:jc w:val="both"/>
        <w:rPr>
          <w:bCs/>
        </w:rPr>
      </w:pPr>
      <w:r>
        <w:rPr>
          <w:bCs/>
        </w:rPr>
        <w:t>Navrhovaná univerzitní rada sleduje legitimní cíl posílení strategického řízení a odpovědnosti veřejných vysokých škol.</w:t>
      </w:r>
    </w:p>
    <w:p>
      <w:pPr>
        <w:pStyle w:val="Normal"/>
        <w:spacing w:before="0" w:after="160"/>
        <w:jc w:val="both"/>
        <w:rPr>
          <w:bCs/>
        </w:rPr>
      </w:pPr>
      <w:r>
        <w:rPr>
          <w:bCs/>
        </w:rPr>
        <w:t>Z hlediska čl. 15 odst. 2 Listiny je podstatné, aby rada nepůsobila jako nástroj politického řízení vysoké školy. Tomu odpovídá pluralitní systém nominací členů, omezená diskrece ministra při jejich jmenování, odborné předpoklady členství, pravidla pro střet zájmů, neslučitelnost vybraných funkcí, kooptace části členů a časově omezené funkční období. Rozhodovací procesy budou podléhat soudní ochraně.</w:t>
      </w:r>
    </w:p>
    <w:p>
      <w:pPr>
        <w:pStyle w:val="Normal"/>
        <w:spacing w:before="0" w:after="160"/>
        <w:jc w:val="both"/>
        <w:rPr>
          <w:bCs/>
          <w:i/>
          <w:iCs/>
        </w:rPr>
      </w:pPr>
      <w:r>
        <w:rPr>
          <w:bCs/>
          <w:i/>
          <w:iCs/>
        </w:rPr>
        <w:t>5.2.4 Akademický senát, rektor a děkan</w:t>
      </w:r>
    </w:p>
    <w:p>
      <w:pPr>
        <w:pStyle w:val="Normal"/>
        <w:spacing w:before="0" w:after="160"/>
        <w:jc w:val="both"/>
        <w:rPr>
          <w:bCs/>
        </w:rPr>
      </w:pPr>
      <w:r>
        <w:rPr>
          <w:bCs/>
        </w:rPr>
        <w:t>Návrh zachovává akademický senát jako volený orgán akademické samosprávy s významnými pravomocemi v oblasti vnitřních předpisů, projednávání klíčových dokumentů, obsazování funkcí a iniciace odvolání rektora či děkana.</w:t>
      </w:r>
    </w:p>
    <w:p>
      <w:pPr>
        <w:pStyle w:val="Normal"/>
        <w:spacing w:before="0" w:after="160"/>
        <w:jc w:val="both"/>
        <w:rPr>
          <w:bCs/>
        </w:rPr>
      </w:pPr>
      <w:r>
        <w:rPr>
          <w:bCs/>
        </w:rPr>
        <w:t>Postavení rektora jako hlavního výkonného orgánu navazuje na dosavadní ústavní tradici. Postavení děkana jako osoby jednající za vysokou školu v rozsahu delegovaných pravomocí je ústavně přípustné za předpokladu zachování odpovídajících procesních záruk.</w:t>
      </w:r>
    </w:p>
    <w:p>
      <w:pPr>
        <w:pStyle w:val="Normal"/>
        <w:spacing w:before="0" w:after="160"/>
        <w:jc w:val="both"/>
        <w:rPr>
          <w:bCs/>
          <w:i/>
          <w:iCs/>
        </w:rPr>
      </w:pPr>
      <w:r>
        <w:rPr>
          <w:bCs/>
          <w:i/>
          <w:iCs/>
        </w:rPr>
        <w:t>5.2.5 Vnitřní předpisy veřejných vysokých škol a dohled ministerstva školství</w:t>
      </w:r>
    </w:p>
    <w:p>
      <w:pPr>
        <w:pStyle w:val="Normal"/>
        <w:spacing w:before="0" w:after="160"/>
        <w:jc w:val="both"/>
        <w:rPr>
          <w:bCs/>
        </w:rPr>
      </w:pPr>
      <w:r>
        <w:rPr>
          <w:bCs/>
        </w:rPr>
        <w:t>Návrh respektuje autonomii vysokých škol a současně umožňuje státu vykonávat dohled nad zákonností jejich vnitřních předpisů.</w:t>
      </w:r>
    </w:p>
    <w:p>
      <w:pPr>
        <w:pStyle w:val="Normal"/>
        <w:spacing w:before="0" w:after="160"/>
        <w:jc w:val="both"/>
        <w:rPr>
          <w:bCs/>
        </w:rPr>
      </w:pPr>
      <w:r>
        <w:rPr>
          <w:bCs/>
        </w:rPr>
        <w:t>Registrace statutu veřejné vysoké školy i přezkum dalších vnitřních předpisů budou založeny výhradně na kontrole souladu se zákonem, nikoli na věcném nebo politickém posuzování. Proti rozhodnutím ministerstva bude zachována soudní ochrana.</w:t>
      </w:r>
    </w:p>
    <w:p>
      <w:pPr>
        <w:pStyle w:val="Normal"/>
        <w:spacing w:before="0" w:after="160"/>
        <w:jc w:val="both"/>
        <w:rPr>
          <w:bCs/>
          <w:i/>
          <w:iCs/>
        </w:rPr>
      </w:pPr>
      <w:r>
        <w:rPr>
          <w:bCs/>
          <w:i/>
          <w:iCs/>
        </w:rPr>
        <w:t>5.2.6 Fakulty a rozsah jejich autonomie</w:t>
      </w:r>
    </w:p>
    <w:p>
      <w:pPr>
        <w:pStyle w:val="Normal"/>
        <w:spacing w:before="0" w:after="160"/>
        <w:jc w:val="both"/>
        <w:rPr>
          <w:bCs/>
        </w:rPr>
      </w:pPr>
      <w:r>
        <w:rPr>
          <w:bCs/>
        </w:rPr>
        <w:t>Ústavní pořádek nezaručuje fakultám konkrétní rozsah autonomie ani jejich určité institucionální postavení. Zákonodárce proto může rozsah fakultní autonomie měnit.</w:t>
      </w:r>
    </w:p>
    <w:p>
      <w:pPr>
        <w:pStyle w:val="Normal"/>
        <w:spacing w:before="0" w:after="160"/>
        <w:jc w:val="both"/>
        <w:rPr>
          <w:bCs/>
        </w:rPr>
      </w:pPr>
      <w:r>
        <w:rPr>
          <w:bCs/>
        </w:rPr>
        <w:t>Navrhovaný model, v němž děkan jedná za vysokou školu v rozsahu svěřených pravomocí, je ústavně přípustný; budou zachovány principy akademické samosprávy a procesní ochrana dotčených osob.</w:t>
      </w:r>
    </w:p>
    <w:p>
      <w:pPr>
        <w:pStyle w:val="Normal"/>
        <w:spacing w:before="0" w:after="160"/>
        <w:jc w:val="both"/>
        <w:rPr>
          <w:bCs/>
          <w:i/>
          <w:iCs/>
        </w:rPr>
      </w:pPr>
      <w:r>
        <w:rPr>
          <w:bCs/>
          <w:i/>
          <w:iCs/>
        </w:rPr>
        <w:t>5.2.7 Právo na vzdělání</w:t>
      </w:r>
    </w:p>
    <w:p>
      <w:pPr>
        <w:pStyle w:val="Normal"/>
        <w:spacing w:before="0" w:after="160"/>
        <w:jc w:val="both"/>
        <w:rPr>
          <w:bCs/>
        </w:rPr>
      </w:pPr>
      <w:r>
        <w:rPr>
          <w:bCs/>
        </w:rPr>
        <w:t>Návrh respektuje čl. 33 Listiny.</w:t>
      </w:r>
    </w:p>
    <w:p>
      <w:pPr>
        <w:pStyle w:val="Normal"/>
        <w:spacing w:before="0" w:after="160"/>
        <w:jc w:val="both"/>
        <w:rPr>
          <w:bCs/>
        </w:rPr>
      </w:pPr>
      <w:r>
        <w:rPr>
          <w:bCs/>
        </w:rPr>
        <w:t>Ústavní soud v nálezech Pl. ÚS 32/95 ze dne 3. 4. 1996 a Pl. ÚS 27/95 ze dne 19. 12. 1995 potvrdil, že vysoké školy disponují autonomií při stanovování podmínek přijetí, avšak musí respektovat základní práva a zákaz diskriminace.</w:t>
      </w:r>
    </w:p>
    <w:p>
      <w:pPr>
        <w:pStyle w:val="Normal"/>
        <w:spacing w:before="0" w:after="160"/>
        <w:jc w:val="both"/>
        <w:rPr>
          <w:bCs/>
        </w:rPr>
      </w:pPr>
      <w:r>
        <w:rPr>
          <w:bCs/>
        </w:rPr>
        <w:t>Nová úprava přijímacího řízení, forem studia a dalších vzdělávacích cest zachovává rovnost uchazečů, předvídatelnost podmínek a zákaz diskriminace a rozšiřuje možnosti realizace práva na vzdělání.</w:t>
      </w:r>
    </w:p>
    <w:p>
      <w:pPr>
        <w:pStyle w:val="Normal"/>
        <w:spacing w:before="0" w:after="160"/>
        <w:jc w:val="both"/>
        <w:rPr>
          <w:bCs/>
          <w:i/>
          <w:iCs/>
        </w:rPr>
      </w:pPr>
      <w:r>
        <w:rPr>
          <w:bCs/>
          <w:i/>
          <w:iCs/>
        </w:rPr>
        <w:t>5.2.8 Rovnost a zákaz diskriminace</w:t>
      </w:r>
    </w:p>
    <w:p>
      <w:pPr>
        <w:pStyle w:val="Normal"/>
        <w:spacing w:before="0" w:after="160"/>
        <w:jc w:val="both"/>
        <w:rPr>
          <w:bCs/>
        </w:rPr>
      </w:pPr>
      <w:r>
        <w:rPr>
          <w:bCs/>
        </w:rPr>
        <w:t>Navrhovaná úprava respektuje princip rovnosti podle čl. 1 Listiny a zákaz diskriminace podle čl. 3 odst. 1 Listiny.</w:t>
      </w:r>
    </w:p>
    <w:p>
      <w:pPr>
        <w:pStyle w:val="Normal"/>
        <w:spacing w:before="0" w:after="160"/>
        <w:jc w:val="both"/>
        <w:rPr>
          <w:bCs/>
        </w:rPr>
      </w:pPr>
      <w:r>
        <w:rPr>
          <w:bCs/>
        </w:rPr>
        <w:t>Požadavek rovnosti se promítá zejména do přijímání ke studiu, podmínek studia, přístupu k akademickým pozicím a odměňování. Pravidla podporující vyvážené zastoupení žen a mužů budou formulována jako přiměřená opatření sledující legitimní cíl, nikoli jako rigidní kvóty.</w:t>
      </w:r>
    </w:p>
    <w:p>
      <w:pPr>
        <w:pStyle w:val="Normal"/>
        <w:spacing w:before="0" w:after="160"/>
        <w:jc w:val="both"/>
        <w:rPr>
          <w:bCs/>
          <w:i/>
          <w:iCs/>
        </w:rPr>
      </w:pPr>
      <w:r>
        <w:rPr>
          <w:bCs/>
          <w:i/>
          <w:iCs/>
        </w:rPr>
        <w:t>5.2.9 Financování veřejných vysokých škol a jejich majetková autonomie</w:t>
      </w:r>
    </w:p>
    <w:p>
      <w:pPr>
        <w:pStyle w:val="Normal"/>
        <w:spacing w:before="0" w:after="160"/>
        <w:jc w:val="both"/>
        <w:rPr>
          <w:bCs/>
        </w:rPr>
      </w:pPr>
      <w:r>
        <w:rPr>
          <w:bCs/>
        </w:rPr>
        <w:t>Kontraktové financování nepředstavuje zásah do autonomie vysokých škol. Veřejné vysoké školy zůstávají samostatnými právnickými osobami s vlastním majetkem a odpovědností za jeho správu.</w:t>
      </w:r>
    </w:p>
    <w:p>
      <w:pPr>
        <w:pStyle w:val="Normal"/>
        <w:spacing w:before="0" w:after="160"/>
        <w:jc w:val="both"/>
        <w:rPr>
          <w:bCs/>
        </w:rPr>
      </w:pPr>
      <w:r>
        <w:rPr>
          <w:bCs/>
        </w:rPr>
        <w:t>Financování nebude sloužit k ovlivňování akademických nebo personálních rozhodnutí. Výše financování bude určována podle předem stanovených pravidel, institucionální indikátory budou výsledkem vyjednávání a konstrukce systému bude obsahovat nástroje chránící legitimní očekávání vysokých škol. Ani rozšíření hospodářských nástrojů vysokých škol nepředstavuje zásah do ústavně chráněných práv.</w:t>
      </w:r>
    </w:p>
    <w:p>
      <w:pPr>
        <w:pStyle w:val="Normal"/>
        <w:spacing w:before="0" w:after="160"/>
        <w:jc w:val="both"/>
        <w:rPr>
          <w:bCs/>
          <w:i/>
          <w:iCs/>
        </w:rPr>
      </w:pPr>
      <w:r>
        <w:rPr>
          <w:bCs/>
          <w:i/>
          <w:iCs/>
        </w:rPr>
        <w:t>5.2.10 Akademické kariéry, systemizace pracovních míst a funkční místa docentů a profesorů</w:t>
      </w:r>
    </w:p>
    <w:p>
      <w:pPr>
        <w:pStyle w:val="Normal"/>
        <w:spacing w:before="0" w:after="160"/>
        <w:jc w:val="both"/>
        <w:rPr>
          <w:bCs/>
        </w:rPr>
      </w:pPr>
      <w:r>
        <w:rPr>
          <w:bCs/>
        </w:rPr>
        <w:t>Zavedení kariérních stupňů, funkčních míst docentů a profesorů, systemizace pracovních míst a hodnocení akademických pracovníků představuje změnu organizace akademických kariér, nikoli zásah do základních práv.</w:t>
      </w:r>
    </w:p>
    <w:p>
      <w:pPr>
        <w:pStyle w:val="Normal"/>
        <w:spacing w:before="0" w:after="160"/>
        <w:jc w:val="both"/>
        <w:rPr>
          <w:bCs/>
        </w:rPr>
      </w:pPr>
      <w:r>
        <w:rPr>
          <w:bCs/>
        </w:rPr>
        <w:t xml:space="preserve">Budou zachována nabytá práva, včetně práva doživotně užívat tituly „docent“ a „profesor“, zvolena budou delší přechodná období, ochrana legitimního očekávání, transparentní kritéria hodnocení i procesní záruky proti svévoli. Obdobné závěry platí pro zavedení systému </w:t>
      </w:r>
      <w:r>
        <w:rPr>
          <w:bCs/>
          <w:i/>
          <w:iCs/>
        </w:rPr>
        <w:t>tenure track</w:t>
      </w:r>
      <w:r>
        <w:rPr>
          <w:bCs/>
        </w:rPr>
        <w:t>.</w:t>
      </w:r>
    </w:p>
    <w:p>
      <w:pPr>
        <w:pStyle w:val="Normal"/>
        <w:spacing w:before="0" w:after="160"/>
        <w:jc w:val="both"/>
        <w:rPr>
          <w:bCs/>
          <w:i/>
          <w:iCs/>
        </w:rPr>
      </w:pPr>
      <w:r>
        <w:rPr>
          <w:bCs/>
          <w:i/>
          <w:iCs/>
        </w:rPr>
        <w:t>5.2.11 Věková hranice 70 let pro skončení pracovního poměru na dobu neurčitou</w:t>
      </w:r>
    </w:p>
    <w:p>
      <w:pPr>
        <w:pStyle w:val="Normal"/>
        <w:spacing w:before="0" w:after="160"/>
        <w:jc w:val="both"/>
        <w:rPr>
          <w:bCs/>
        </w:rPr>
      </w:pPr>
      <w:r>
        <w:rPr>
          <w:bCs/>
        </w:rPr>
        <w:t xml:space="preserve">Automatické skončení pracovního poměru akademických pracovníků při dosažení věku 70 let bylo posouzeno </w:t>
      </w:r>
      <w:r>
        <w:rPr/>
        <w:t>z hlediska</w:t>
      </w:r>
      <w:r>
        <w:rPr>
          <w:bCs/>
        </w:rPr>
        <w:t xml:space="preserve"> rovnosti, zákazu diskriminace a práva na svobodnou volbu povolání.</w:t>
      </w:r>
    </w:p>
    <w:p>
      <w:pPr>
        <w:pStyle w:val="Normal"/>
        <w:spacing w:before="0" w:after="160"/>
        <w:jc w:val="both"/>
        <w:rPr>
          <w:bCs/>
        </w:rPr>
      </w:pPr>
      <w:r>
        <w:rPr>
          <w:bCs/>
        </w:rPr>
        <w:t>Návrh sleduje legitimní cíle spočívající v zajištění personální stability, generační obměny, plánování lidských zdrojů a dlouhodobé kvality vzdělávací a tvůrčí činnosti. Věková hranice je způsobilým a přiměřeným prostředkem k dosažení těchto cílů a nepředstavuje nepřípustnou diskriminaci. Současně zůstane zachována možnost dalšího odborného působení prostřednictvím pracovních poměrů emeritních akademických pracovníků nebo jiných forem spolupráce.</w:t>
      </w:r>
    </w:p>
    <w:p>
      <w:pPr>
        <w:pStyle w:val="Normal"/>
        <w:spacing w:before="0" w:after="160"/>
        <w:jc w:val="both"/>
        <w:rPr>
          <w:bCs/>
          <w:i/>
          <w:iCs/>
        </w:rPr>
      </w:pPr>
      <w:r>
        <w:rPr>
          <w:bCs/>
          <w:i/>
          <w:iCs/>
        </w:rPr>
        <w:t>5.2.12 Zajišťování kvality a akreditace</w:t>
      </w:r>
    </w:p>
    <w:p>
      <w:pPr>
        <w:pStyle w:val="Normal"/>
        <w:spacing w:before="0" w:after="160"/>
        <w:jc w:val="both"/>
        <w:rPr>
          <w:bCs/>
        </w:rPr>
      </w:pPr>
      <w:r>
        <w:rPr>
          <w:bCs/>
        </w:rPr>
        <w:t>Reforma systému kvality a akreditací sleduje legitimní cíl ochrany kvality vysokoškolského vzdělávání a posiluje odpovědnost vysokých škol za vlastní systémy kvality.</w:t>
      </w:r>
    </w:p>
    <w:p>
      <w:pPr>
        <w:pStyle w:val="Normal"/>
        <w:spacing w:before="0" w:after="160"/>
        <w:jc w:val="both"/>
        <w:rPr>
          <w:bCs/>
        </w:rPr>
      </w:pPr>
      <w:r>
        <w:rPr>
          <w:bCs/>
        </w:rPr>
        <w:t>Institucionální audit představuje přípustný nástroj vnější kontroly. Zaměřuje se na funkčnost vnitřních procesů zajišťování kvality, nikoli primárně na odborný obsah studijních programů. Nápravná opatření budou odstupňována podle závažnosti zjištění a podléhat soudnímu přezkumu. Změna akreditačního systému zachovává zákonné garance kvality i rovného přístupu ke vzdělávání.</w:t>
      </w:r>
    </w:p>
    <w:p>
      <w:pPr>
        <w:pStyle w:val="Normal"/>
        <w:spacing w:before="0" w:after="160"/>
        <w:jc w:val="both"/>
        <w:rPr>
          <w:bCs/>
          <w:i/>
          <w:iCs/>
        </w:rPr>
      </w:pPr>
      <w:r>
        <w:rPr>
          <w:bCs/>
          <w:i/>
          <w:iCs/>
        </w:rPr>
        <w:t>5.2.13 Svobodná volba povolání</w:t>
      </w:r>
    </w:p>
    <w:p>
      <w:pPr>
        <w:pStyle w:val="Normal"/>
        <w:spacing w:before="0" w:after="160"/>
        <w:jc w:val="both"/>
        <w:rPr>
          <w:bCs/>
        </w:rPr>
      </w:pPr>
      <w:r>
        <w:rPr>
          <w:bCs/>
        </w:rPr>
        <w:t>Navrhovaná omezení výkonu akademické činnosti, včetně věkové hranice a regulace souběžné výdělečné činnosti, představují zákonná omezení ve smyslu čl. 26 odst. 2 Listiny. Budou respektovat požadavky proporcionality a zákazu diskriminace, a jsou proto slučitelná s čl. 26 Listiny.</w:t>
      </w:r>
    </w:p>
    <w:p>
      <w:pPr>
        <w:pStyle w:val="Normal"/>
        <w:spacing w:before="0" w:after="160"/>
        <w:jc w:val="both"/>
        <w:rPr>
          <w:bCs/>
          <w:i/>
          <w:iCs/>
        </w:rPr>
      </w:pPr>
      <w:r>
        <w:rPr>
          <w:bCs/>
          <w:i/>
          <w:iCs/>
        </w:rPr>
        <w:t>5.2.14 Právo na soudní ochranu</w:t>
      </w:r>
    </w:p>
    <w:p>
      <w:pPr>
        <w:pStyle w:val="Normal"/>
        <w:spacing w:before="0" w:after="160"/>
        <w:jc w:val="both"/>
        <w:rPr>
          <w:bCs/>
        </w:rPr>
      </w:pPr>
      <w:r>
        <w:rPr>
          <w:bCs/>
        </w:rPr>
        <w:t>Navrhovaná úprava respektuje čl. 36 Listiny.</w:t>
      </w:r>
    </w:p>
    <w:p>
      <w:pPr>
        <w:pStyle w:val="Normal"/>
        <w:spacing w:before="0" w:after="160"/>
        <w:jc w:val="both"/>
        <w:rPr>
          <w:bCs/>
        </w:rPr>
      </w:pPr>
      <w:r>
        <w:rPr>
          <w:bCs/>
        </w:rPr>
        <w:t>Autonomie vysokých škol nevylučuje soudní přezkum tam, kde vykonávají veřejnou moc nebo zasahují do veřejných subjektivních práv. Nález Ústavního soudu Pl. ÚS 32/95 potvrzuje, že autonomie vysokých škol nemůže odůvodnit porušování základních práv. Zachována bude rovněž možnost soudního přezkumu rozhodnutí ministerstva školství a Akreditačního úřadu.</w:t>
      </w:r>
    </w:p>
    <w:p>
      <w:pPr>
        <w:pStyle w:val="Normal"/>
        <w:spacing w:before="0" w:after="20"/>
        <w:ind w:start="340"/>
        <w:rPr/>
      </w:pPr>
      <w:r>
        <w:rPr/>
      </w:r>
    </w:p>
    <w:p>
      <w:pPr>
        <w:pStyle w:val="Normal"/>
        <w:shd w:val="clear" w:color="auto" w:fill="95B3D7" w:themeFill="accent1" w:themeFillTint="99"/>
        <w:spacing w:before="0" w:after="20"/>
        <w:rPr>
          <w:b/>
          <w:bCs/>
        </w:rPr>
      </w:pPr>
      <w:r>
        <w:rPr>
          <w:b/>
          <w:bCs/>
        </w:rPr>
        <w:t>5.3 Soulad s právem Evropské unie</w:t>
      </w:r>
    </w:p>
    <w:p>
      <w:pPr>
        <w:pStyle w:val="Normal"/>
        <w:spacing w:before="0" w:after="20"/>
        <w:ind w:start="340"/>
        <w:rPr>
          <w:b/>
          <w:bCs/>
        </w:rPr>
      </w:pPr>
      <w:r>
        <w:rPr>
          <w:b/>
          <w:bCs/>
        </w:rPr>
      </w:r>
    </w:p>
    <w:p>
      <w:pPr>
        <w:pStyle w:val="Normal"/>
        <w:spacing w:before="0" w:after="160"/>
        <w:jc w:val="both"/>
        <w:rPr>
          <w:rFonts w:cs="Arial"/>
        </w:rPr>
      </w:pPr>
      <w:r>
        <w:rPr>
          <w:rFonts w:cs="Arial"/>
        </w:rPr>
        <w:t xml:space="preserve">Návrh věcného záměru zákona je s právem Evropské unie plně slučitelný. </w:t>
      </w:r>
    </w:p>
    <w:p>
      <w:pPr>
        <w:pStyle w:val="Normal"/>
        <w:spacing w:before="0" w:after="160"/>
        <w:jc w:val="both"/>
        <w:rPr>
          <w:rFonts w:cs="Arial"/>
        </w:rPr>
      </w:pPr>
      <w:r>
        <w:rPr>
          <w:rFonts w:cs="Arial"/>
        </w:rPr>
        <w:t>Ve smyslu čl. 165 a 166 SFEU je společná politika všeobecného a odborného vzdělávání vyloučena z harmonizace zákonů a ostatních právních předpisů členských států. Právo EU plně respektuje odpovědnost členských států mj. za organizaci jejich vzdělávacích systémů. Sbližování právních předpisů je členskými státy realizováno na základě dobrovolnosti, tj. na základě aktů EU, které mají pouze doporučující charakter. Národní právní úprava však i v tomto případě musí respektovat základní zásady práva EU a zejména základní svobody vnitřního trhu (volný pohyb osob a svobodu usazování apod.) podle příslušných článků Smlouvy o fungování EU.</w:t>
      </w:r>
    </w:p>
    <w:p>
      <w:pPr>
        <w:pStyle w:val="Normal"/>
        <w:spacing w:before="0" w:after="160"/>
        <w:rPr>
          <w:rFonts w:cs="Arial"/>
        </w:rPr>
      </w:pPr>
      <w:r>
        <w:rPr>
          <w:rFonts w:cs="Arial"/>
        </w:rPr>
        <w:t>Předložený návrh se v širších souvislostech týká také:</w:t>
      </w:r>
    </w:p>
    <w:p>
      <w:pPr>
        <w:pStyle w:val="ListParagraph"/>
        <w:numPr>
          <w:ilvl w:val="0"/>
          <w:numId w:val="44"/>
        </w:numPr>
        <w:rPr>
          <w:rFonts w:cs="Arial"/>
        </w:rPr>
      </w:pPr>
      <w:r>
        <w:rPr>
          <w:rFonts w:cs="Arial"/>
        </w:rPr>
        <w:t>směrnice Rady 99/70/ES ze dne 28. června 1999 o rámcové dohodě o pracovních poměrech na dobu určitou uzavřené mezi organizacemi UNICE, CEEP a EKOS,</w:t>
      </w:r>
    </w:p>
    <w:p>
      <w:pPr>
        <w:pStyle w:val="ListParagraph"/>
        <w:numPr>
          <w:ilvl w:val="0"/>
          <w:numId w:val="44"/>
        </w:numPr>
        <w:jc w:val="both"/>
        <w:rPr>
          <w:rFonts w:cs="Arial"/>
        </w:rPr>
      </w:pPr>
      <w:r>
        <w:rPr>
          <w:rFonts w:cs="Arial"/>
        </w:rPr>
        <w:t>směrnice Rady 2000/78/ES ze dne 27. listopadu 2000, kterou se stanoví obecný rámec pro rovné zacházení v zaměstnání a povolání,</w:t>
      </w:r>
    </w:p>
    <w:p>
      <w:pPr>
        <w:pStyle w:val="ListParagraph"/>
        <w:numPr>
          <w:ilvl w:val="0"/>
          <w:numId w:val="44"/>
        </w:numPr>
        <w:jc w:val="both"/>
        <w:rPr>
          <w:rFonts w:cs="Arial"/>
        </w:rPr>
      </w:pPr>
      <w:r>
        <w:rPr>
          <w:rFonts w:cs="Arial"/>
        </w:rPr>
        <w:t>směrnice Evropského parlamentu a Rady (EU) 2019/1152 ze dne 20. června 2019 o transparentních a předvídatelných pracovních podmínkách v Evropské unii.</w:t>
      </w:r>
    </w:p>
    <w:p>
      <w:pPr>
        <w:pStyle w:val="ListParagraph"/>
        <w:ind w:hanging="360" w:start="720"/>
        <w:jc w:val="both"/>
        <w:rPr>
          <w:rFonts w:cs="Arial"/>
        </w:rPr>
      </w:pPr>
      <w:r>
        <w:rPr>
          <w:rFonts w:cs="Arial"/>
        </w:rPr>
      </w:r>
    </w:p>
    <w:p>
      <w:pPr>
        <w:pStyle w:val="Normal"/>
        <w:spacing w:before="0" w:after="160"/>
        <w:jc w:val="both"/>
        <w:rPr>
          <w:rFonts w:cs="Arial"/>
        </w:rPr>
      </w:pPr>
      <w:r>
        <w:rPr>
          <w:rFonts w:cs="Arial"/>
        </w:rPr>
        <w:t xml:space="preserve">Navrhované skončení pracovních poměrů na dobu neurčitou u akademických pracovníků při dosažení stanoveného věku (70 let) a zvláštní postavení emeritních akademických pracovníků (možnost opakování pracovních poměrů na dobu určitou) je v souladu s čl. 2 a čl. 6 odst. 1 směrnice Rady 2000/78/ES ze dne 27. listopadu 2000, kterou se stanoví obecný rámec pro rovné zacházení v zaměstnání a povolání, a ustanovením 5 bodu 1 rámcové dohody o pracovních poměrech na dobu určitou uzavřené dne 18. března 1999, která je přílohou směrnice Rady 1999/70/ES ze dne 28. června 1999 o rámcové dohodě o pracovních poměrech na dobu určitou uzavřené mezi organizacemi UNICE, CEEP a EKOS. Toto opatření nemá diskriminační charakter, neboť sleduje legitimní cíl v oblasti politiky zaměstnanosti (optimální rozložení pracovních míst z hlediska generační rovnováhy, přístupnost pozic pro mladší akademické pracovníky, generační rozrůzněnost napomáhající kvalitě vědy a výzkumu), přičemž jde o opatření přiměřené a nezbytné. </w:t>
      </w:r>
    </w:p>
    <w:p>
      <w:pPr>
        <w:pStyle w:val="Normal"/>
        <w:spacing w:before="0" w:after="160"/>
        <w:jc w:val="both"/>
        <w:rPr>
          <w:rFonts w:cs="Arial"/>
        </w:rPr>
      </w:pPr>
      <w:r>
        <w:rPr>
          <w:rFonts w:cs="Arial"/>
        </w:rPr>
        <w:t>V této souvislosti je vhodné upozornit, že věková hranice 70 let je v českém právním řádu stanovena i pro další kategorie profesí [§ 94 písm. a) zákona č. 6/2002 Sb., o soudech a soudcích, ve znění pozdějších předpisů, § 21 odst. 1 písm. f) zákona č. 283/1993 Sb., o státním zastupitelství, ve znění pozdějších předpisů, § 11 písm. c) zákona č. 358/1992 Sb., notářský řád, ve znění pozdějších předpisů], přičemž existuje i hranice nižší [srov. § 41 písm. e) zákona č. 361/2003, o služebním poměru příslušníků bezpečnostních sborů, ve znění pozdějších předpisů]. V době dosažení stanoveného věku bude také zpravidla dán nárok akademického pracovníka na starobní důchod.</w:t>
      </w:r>
    </w:p>
    <w:p>
      <w:pPr>
        <w:pStyle w:val="Normal"/>
        <w:spacing w:before="0" w:after="160"/>
        <w:jc w:val="both"/>
        <w:rPr>
          <w:rFonts w:cs="Arial"/>
        </w:rPr>
      </w:pPr>
      <w:r>
        <w:rPr>
          <w:rFonts w:cs="Arial"/>
        </w:rPr>
        <w:t xml:space="preserve">V rozsudku Soudního dvora (druhého senátu) ze dne 18. listopadu 2010, </w:t>
      </w:r>
      <w:r>
        <w:rPr>
          <w:rFonts w:cs="Arial"/>
          <w:i/>
          <w:iCs/>
        </w:rPr>
        <w:t>Georgiev</w:t>
      </w:r>
      <w:r>
        <w:rPr>
          <w:rFonts w:cs="Arial"/>
        </w:rPr>
        <w:t xml:space="preserve">, C-250/09 a C-268/09, SD EU obecně aproboval vnitrostátní úpravu, která pro univerzitní profesory, kteří dosáhli věku 68 let, stanoví povinný odchod do důchodu a umožňuje jim po dosažení věku 65 let pokračovat v činnosti pouze prostřednictvím smluv na dobu určitou uzavřených na dobu jednoho roku, které je možné prodloužit maximálně dvakrát, pokud tato právní úprava sleduje legitimní cíl spojený zejména s politikou zaměstnanosti a trhu práce, jako například zabezpečení kvality vzdělávání a optimálního rozdělení profesorských míst mezi generace, a pokud umožňuje dosáhnout tohoto cíle přiměřenými a nezbytnými prostředky. Navržené opatření má širší použití, dovršení věku však spojuje s mírnějšími důsledky. </w:t>
      </w:r>
    </w:p>
    <w:p>
      <w:pPr>
        <w:pStyle w:val="Normal"/>
        <w:spacing w:before="0" w:after="160"/>
        <w:jc w:val="both"/>
        <w:rPr>
          <w:rFonts w:cs="Arial"/>
        </w:rPr>
      </w:pPr>
      <w:r>
        <w:rPr>
          <w:rFonts w:cs="Arial"/>
        </w:rPr>
        <w:t xml:space="preserve">Čl. 9 Směrnice Evropského parlamentu a Rady (EU) 2019/1152 ze dne 20. června 2019 o transparentních a předvídatelných pracovních podmínkách v Evropské unii stanoví členským státům povinnost zajistit, aby zaměstnavatel nesměl pracovníkovi zakázat přijmout zaměstnání u jiných zaměstnavatelů mimo rozvrh pracovní doby stanovený s dotčeným zaměstnavatelem ani s pracovníkem nepříznivě zacházet, pokud souběžné zaměstnání přijme. Zároveň se připouští stanovení omezujících podmínek na základě objektivních důvodů, jimiž mohou být mj. zdraví a bezpečnost, ochrana obchodního tajemství, integrita veřejné služby nebo zabránění střetu zájmů. </w:t>
      </w:r>
    </w:p>
    <w:p>
      <w:pPr>
        <w:pStyle w:val="Normal"/>
        <w:spacing w:before="0" w:after="160"/>
        <w:jc w:val="both"/>
        <w:rPr>
          <w:rFonts w:cs="Arial"/>
        </w:rPr>
      </w:pPr>
      <w:r>
        <w:rPr>
          <w:rFonts w:cs="Arial"/>
        </w:rPr>
        <w:t xml:space="preserve">Předkladatel je toho názoru, že u akademických pracovníků je dán legitimní důvod pro omezení souběžného zaměstnávání, který spočívá v zabránění střetu zájmů na straně akademického pracovníka. Současná úprava zákazu § 304 zákoníku práce bez rozlišení vyjímá ze zákazu konkurence výkon vědecké, pedagogické, publicistické, literární a umělecké činnosti. Navrhované opatření spočívající v informační povinnosti zaměstnance vůči zaměstnavateli (vysoké škole) a povinnosti získat předchozí písemný souhlas vysoké školy k výkonu výdělečné činnosti shodné s předmětem její činnosti má řešit problémy pramenící z vícečetnosti afiliací akademických pracovníků (mj. etika vědecké práce, vykazování vědeckých výsledků, kvalita vědecko-pedagogické činnosti). Nejedná se o plošný zákaz souběžného zaměstnávání ani jeho plošné omezení (spočívající např. ve stanovení maximální přípustné výše součtu týdenní pracovní doby u dalších zaměstnavatelů); představuje tak omezení souběžného zaměstnání svou povahou nejmírnější.  </w:t>
      </w:r>
    </w:p>
    <w:p>
      <w:pPr>
        <w:pStyle w:val="Normal"/>
        <w:spacing w:before="0" w:after="160"/>
        <w:jc w:val="both"/>
        <w:rPr>
          <w:rFonts w:cs="Arial"/>
        </w:rPr>
      </w:pPr>
      <w:r>
        <w:rPr>
          <w:rFonts w:cs="Arial"/>
        </w:rPr>
        <w:t xml:space="preserve">Ve vztahu k zákazu veřejných podpor stanoveném v čl. 107 Smlouvy o fungování EU návrh zohledňuje relevantní principy obsažené ve Sdělení Komise o pojmu státní podpora uvedeném v čl. 107 odst. 1 Smlouvy o fungování Evropské unie, C/2016/2946, a ve Sdělení Komise Rámec pro státní podporu výzkumu, vývoje a inovací 2022/C 414/01. Navržená koncepce financování a hospodaření veřejných vysokých škol zejména zachovává dominantně nehospodářský charakter jejich činnosti.  </w:t>
      </w:r>
    </w:p>
    <w:p>
      <w:pPr>
        <w:pStyle w:val="Normal"/>
        <w:spacing w:before="0" w:after="20"/>
        <w:ind w:start="340"/>
        <w:rPr/>
      </w:pPr>
      <w:r>
        <w:rPr/>
      </w:r>
    </w:p>
    <w:p>
      <w:pPr>
        <w:pStyle w:val="Normal"/>
        <w:shd w:val="clear" w:color="auto" w:fill="95B3D7" w:themeFill="accent1" w:themeFillTint="99"/>
        <w:spacing w:before="0" w:after="240"/>
        <w:jc w:val="both"/>
        <w:rPr>
          <w:b/>
          <w:bCs/>
        </w:rPr>
      </w:pPr>
      <w:r>
        <w:rPr>
          <w:rFonts w:cs="Arial"/>
          <w:b/>
          <w:bCs/>
        </w:rPr>
        <w:t xml:space="preserve">5.4 Soulad s mezinárodními smlouvami, jimiž je Česká republika vázána </w:t>
      </w:r>
    </w:p>
    <w:p>
      <w:pPr>
        <w:pStyle w:val="Normal"/>
        <w:spacing w:before="0" w:after="240"/>
        <w:jc w:val="both"/>
        <w:rPr/>
      </w:pPr>
      <w:r>
        <w:rPr>
          <w:rFonts w:cs="Arial"/>
        </w:rPr>
        <w:t xml:space="preserve">Věcný záměr zákona o vysokých školách je na úrovni navržených principů a koncepčního řešení v souladu s mezinárodními smlouvami, jimiž je Česká republika vázána. Vychází z ochrany práva na vzdělání, rovného přístupu ke studiu, akademických svobod a pracovních práv a podporuje mezinárodní spolupráci a uznávání kvalifikací. Tato východiska se odrážejí v navržené úpravě studia, podpory studentů, řízení a financování vysokých škol, akademických kariér a zajišťování kvality. </w:t>
      </w:r>
    </w:p>
    <w:p>
      <w:pPr>
        <w:pStyle w:val="Normal"/>
        <w:spacing w:before="0" w:after="240"/>
        <w:jc w:val="both"/>
        <w:rPr>
          <w:i/>
          <w:iCs/>
        </w:rPr>
      </w:pPr>
      <w:r>
        <w:rPr>
          <w:rFonts w:cs="Arial"/>
          <w:i/>
          <w:iCs/>
        </w:rPr>
        <w:t xml:space="preserve">5.4.1 Právo na vzdělání a rovný přístup </w:t>
      </w:r>
    </w:p>
    <w:p>
      <w:pPr>
        <w:pStyle w:val="Normal"/>
        <w:spacing w:before="0" w:after="240"/>
        <w:jc w:val="both"/>
        <w:rPr/>
      </w:pPr>
      <w:r>
        <w:rPr>
          <w:rFonts w:cs="Arial"/>
        </w:rPr>
        <w:t xml:space="preserve">Věcný záměr je svým zaměřením na dostupnost a flexibilitu vysokoškolského vzdělávání v souladu s čl. 2 Dodatkového protokolu k Úmluvě o ochraně lidských práv a základních svobod, vyhlášené pod č. 209/1992 Sb., ve spojení s čl. 14 Úmluvy, a s čl. 13 Mezinárodního paktu o hospodářských, sociálních a kulturních právech, vyhlášeného pod č. 120/1976 Sb. Pakt zakotvuje stejné zpřístupnění vyššího vzdělání pro všechny podle schopností, všemi vhodnými prostředky a zejména postupným zaváděním bezplatného vzdělání, a předpokládá rozvoj systému stipendií. Tomuto smluvnímu rámci odpovídá zachování veřejného financování veřejných vysokých škol a podpora rozmanitých vzdělávacích cest. </w:t>
      </w:r>
    </w:p>
    <w:p>
      <w:pPr>
        <w:pStyle w:val="Normal"/>
        <w:spacing w:before="0" w:after="240"/>
        <w:jc w:val="both"/>
        <w:rPr/>
      </w:pPr>
      <w:r>
        <w:rPr>
          <w:rFonts w:cs="Arial"/>
        </w:rPr>
        <w:t xml:space="preserve">Navržené možnosti přijetí do skupiny studijních programů nebo na vysokou školu s následnou volbou programu, studium v různé intenzitě a rozšíření nabídky o krátký cyklus a nové formy celoživotního vzdělávání reagují na rozdílné vzdělávací potřeby uchazečů a studentů. Flexibilnější uspořádání studia vytváří širší prostor pro jeho sladění se zaměstnáním, rodičovstvím a dalšími osobními okolnostmi. Věcný záměr tím podporuje naplňování práva na vzdělání a přístup k němu v různých životních situacích. </w:t>
      </w:r>
    </w:p>
    <w:p>
      <w:pPr>
        <w:pStyle w:val="Normal"/>
        <w:spacing w:before="0" w:after="240"/>
        <w:jc w:val="both"/>
        <w:rPr/>
      </w:pPr>
      <w:r>
        <w:rPr>
          <w:rFonts w:cs="Arial"/>
        </w:rPr>
        <w:t xml:space="preserve">Zaměření věcného záměru na rovné příležitosti a dostupnost vzdělávání odpovídá rovněž Úmluvě o boji proti diskriminaci v oblasti vzdělání, přijaté v rámci UNESCO dne 14. prosince 1960, čl. 5 písm. e) bodu v) Mezinárodní úmluvy o odstranění všech forem rasové diskriminace (č. 95/1974 Sb.) a čl. 10 Úmluvy o odstranění všech forem diskriminace žen (č. 62/1987 Sb.). Ve vztahu k uchazečům a studentům, kteří jsou dětmi ve smyslu čl. 1 Úmluvy o právech dítěte (č. 104/1991 Sb.), je relevantní zejména její čl. 28 odst. 1 písm. c), upravující zpřístupňování vysokoškolského vzdělání pro všechny podle schopností. Rozšíření studijních možností a podpora individuálních vzdělávacích cest přispívají k naplňování těchto závazků. </w:t>
      </w:r>
    </w:p>
    <w:p>
      <w:pPr>
        <w:pStyle w:val="Normal"/>
        <w:spacing w:before="0" w:after="240"/>
        <w:jc w:val="both"/>
        <w:rPr>
          <w:i/>
          <w:iCs/>
        </w:rPr>
      </w:pPr>
      <w:r>
        <w:rPr>
          <w:rFonts w:cs="Arial"/>
          <w:i/>
          <w:iCs/>
        </w:rPr>
        <w:t xml:space="preserve">5.4.2 Akademické svobody a postavení akademických pracovníků </w:t>
      </w:r>
    </w:p>
    <w:p>
      <w:pPr>
        <w:pStyle w:val="Normal"/>
        <w:spacing w:before="0" w:after="240"/>
        <w:jc w:val="both"/>
        <w:rPr/>
      </w:pPr>
      <w:r>
        <w:rPr>
          <w:rFonts w:cs="Arial"/>
        </w:rPr>
        <w:t xml:space="preserve">Koncepce řízení a financování vysokých škol vychází z ochrany akademické svobody a institucionální autonomie a je v tomto ohledu v souladu s čl. 10 Úmluvy o ochraně lidských práv a základních svobod a čl. 19 Mezinárodního paktu o občanských a politických právech (č. 120/1976 Sb.), chránícími svobodu projevu, a s čl. 15 odst. 3 Mezinárodního paktu o hospodářských, sociálních a kulturních právech, který chrání svobodu nezbytnou pro vědecký výzkum a tvůrčí činnost. Navržený model kombinuje účast akademické obce na řízení s účastí vnějších členů a rozděluje pravomoci mezi více orgánů. Zapojení akademických senátů a způsob ustavování univerzitních rad vytvářejí institucionální pojistky autonomie. Výkonové kontrakty staví na vyjednávání cílů s jednotlivými vysokými školami a respektování jejich poslání a profilace. Z uvedených smluv přitom nevyplývá jediný přípustný model vysokoškolské samosprávy. </w:t>
      </w:r>
    </w:p>
    <w:p>
      <w:pPr>
        <w:pStyle w:val="Normal"/>
        <w:spacing w:before="0" w:after="240"/>
        <w:jc w:val="both"/>
        <w:rPr/>
      </w:pPr>
      <w:r>
        <w:rPr>
          <w:rFonts w:cs="Arial"/>
        </w:rPr>
        <w:t xml:space="preserve">Smluvním východiskem úpravy akademických kariér jsou čl. 6 až 8 Mezinárodního paktu o hospodářských, sociálních a kulturních právech a Evropská sociální charta (č. 14/2000 Sb. m. s.) v rozsahu závazků přijatých Českou republikou, zejména čl. 1 odst. 2, čl. 4 odst. 3 a 4 a čl. 5 a 6. Relevantní jsou rovněž úmluvy Mezinárodní organizace práce, jimiž je Česká republika vázána: č. 87 o svobodě sdružování a ochraně práva odborově se organizovat (č. 489/1990 Sb.), č. 98 o provádění zásad práva organizovat se a kolektivně vyjednávat (č. 470/1990 Sb.), č. 100 o stejném odměňování pracujících mužů a žen za práci stejné hodnoty (č. 450/1990 Sb.), č. 111 o diskriminaci v zaměstnání a povolání (č. 465/1990 Sb.) a č. 154 o podpoře kolektivního vyjednávání (č. 54/2018 Sb. m. s.). Smluvní rámec doplňuje čl. 11 Úmluvy o odstranění všech forem diskriminace žen a zásada rovnosti podle čl. 26 Mezinárodního paktu o občanských a politických právech. </w:t>
      </w:r>
    </w:p>
    <w:p>
      <w:pPr>
        <w:pStyle w:val="Normal"/>
        <w:spacing w:before="0" w:after="240"/>
        <w:jc w:val="both"/>
        <w:rPr/>
      </w:pPr>
      <w:r>
        <w:rPr>
          <w:rFonts w:cs="Arial"/>
        </w:rPr>
        <w:t xml:space="preserve">Navržený kariérní systém podporuje transparentnost a předvídatelnost profesního rozvoje akademických pracovníků. Vymezení kariérních stupňů, formalizované hodnocení, zapojení vnějších odborníků a prostor pro nápravu při zjištěných nedostatcích představují nástroje věcně založeného posuzování pracovních výsledků. Přechod k funkčním místům docentů a profesorů je spojen se zachováním dosavadních osobních titulů a přechodným obdobím pro zavedení nového systému. Tyto prvky odpovídají ochraně pracovních práv, právní jistoty a rovného zacházení, z nichž uvedené smlouvy vycházejí. </w:t>
      </w:r>
    </w:p>
    <w:p>
      <w:pPr>
        <w:pStyle w:val="Normal"/>
        <w:spacing w:before="0" w:after="240"/>
        <w:jc w:val="both"/>
        <w:rPr>
          <w:i/>
          <w:iCs/>
        </w:rPr>
      </w:pPr>
      <w:r>
        <w:rPr>
          <w:rFonts w:cs="Arial"/>
          <w:i/>
          <w:iCs/>
        </w:rPr>
        <w:t xml:space="preserve">5.4.3 Uznávání vzdělání a kvalifikací </w:t>
      </w:r>
    </w:p>
    <w:p>
      <w:pPr>
        <w:pStyle w:val="Normal"/>
        <w:spacing w:before="0" w:after="240"/>
        <w:jc w:val="both"/>
        <w:rPr/>
      </w:pPr>
      <w:r>
        <w:rPr>
          <w:rFonts w:cs="Arial"/>
        </w:rPr>
        <w:t xml:space="preserve">Věcný záměr navazuje na Úmluvu o uznávání kvalifikací týkajících se vysokoškolského vzdělávání v evropském regionu, sjednanou v Lisabonu dne 11. dubna 1997 (č. 60/2000 Sb. m. s.). Jeho zaměření na mezinárodní otevřenost, prostupnost studia a spolupráci vysokých škol odpovídá účelu této úmluvy. Její čl. IV.1, V.1 a VI.1 zakotvují ve vztazích mezi smluvními stranami zásadu uznávání kvalifikací umožňujících přístup k vysokoškolskému vzdělávání, částí studia a vysokoškolských kvalifikací, nejsou-li prokázány podstatné rozdíly vymezené příslušným ustanovením. Články III.1 až III.5 upravují nediskriminační posuzování, jasné a spolehlivé postupy a kritéria, přiměřenou předem stanovenou lhůtu pro rozhodnutí po obdržení všech nezbytných informací, odůvodnění zamítnutí a možnost napadení zamítavého rozhodnutí i nečinnosti; povinnost orgánu prokázat, že žádost nesplňuje příslušné požadavky, doplňuje prvotní odpovědnost žadatele za poskytnutí náležitých informací. </w:t>
      </w:r>
    </w:p>
    <w:p>
      <w:pPr>
        <w:pStyle w:val="Normal"/>
        <w:spacing w:before="0" w:after="240"/>
        <w:jc w:val="both"/>
        <w:rPr/>
      </w:pPr>
      <w:r>
        <w:rPr>
          <w:rFonts w:cs="Arial"/>
        </w:rPr>
        <w:t xml:space="preserve">Důraz na výsledky učení, kreditové vyjádření rozsahu studia a vymezení úrovně kvalifikací podporuje srozumitelnost českého vysokoškolského vzdělávání pro účely mezinárodního uznávání. Úprava společných studijních programů a dokladů o jejich absolvování rozvíjí přeshraniční spolupráci. Navržené mechanismy zajišťování kvality přispívají k důvěryhodnosti informací o vysokých školách a jejich programech ve smyslu oddílů VIII a IX Lisabonské úmluvy. Na mezinárodní uznávání kvalifikací získaných v nových typech vzdělávání se vztahují příslušné smlouvy v rozsahu jejich věcné a osobní působnosti. </w:t>
      </w:r>
    </w:p>
    <w:p>
      <w:pPr>
        <w:pStyle w:val="Normal"/>
        <w:spacing w:before="0" w:after="240"/>
        <w:jc w:val="both"/>
        <w:rPr/>
      </w:pPr>
      <w:r>
        <w:rPr>
          <w:rFonts w:cs="Arial"/>
        </w:rPr>
        <w:t xml:space="preserve">Věcný záměr respektuje rovněž platné dvoustranné smlouvy o uznávání dokladů a rovnocennosti vzdělání se Slovenskou republikou (č. 23/2015 Sb. m. s.), Polskou republikou (č. 104/2006 Sb. m. s.), Maďarskou republikou (č. 92/2005 Sb. m. s.) a Spolkovou republikou Německo (č. 60/2008 Sb. m. s.), jakož i dohodu vyhlášenou pod č. 89/1991 Sb., která se nadále uplatňuje ve vztahu ke Slovinsku. Tyto smlouvy tvoří zvláštní právní rámec účinků dokladů spadajících do jejich působnosti. Účinky uznání dokladů o vzdělání, vědeckých hodnostech a titulech se řídí jednotlivými smlouvami; samotné obsazení funkčního akademického místa nezakládá bez dalšího rovnocennost s titulem nebo kvalifikací vymezenou v těchto smlouvách. </w:t>
      </w:r>
    </w:p>
    <w:p>
      <w:pPr>
        <w:pStyle w:val="Normal"/>
        <w:spacing w:before="0" w:after="240"/>
        <w:jc w:val="both"/>
        <w:rPr/>
      </w:pPr>
      <w:r>
        <w:rPr>
          <w:rFonts w:cs="Arial"/>
        </w:rPr>
        <w:t xml:space="preserve">Součástí relevantního smluvního rámce jsou rovněž Evropská úmluva o rovnocennosti dokladů umožňujících přístup na vysoké školy (č. 627/1992 Sb.), Dodatkový protokol k Evropské úmluvě o rovnocennosti dokladů o vzdělání umožňujících přístup na vysoké školy (č. 622/1992 Sb.), Evropská úmluva o rovnocennosti částečného studia na vysokých školách (č. 628/1992 Sb.), Evropská úmluva o akademickém uznávání univerzitní kvalifikace (č. 609/1992 Sb.) a Úmluva o uznávání studií a diplomů týkajících se vysokého školství ve státech evropského regionu (č. 77/1990 Sb.). Podle čl. XI.4 odst. 1 Lisabonské úmluvy její smluvní strany, které jsou současně stranami uvedených starších úmluv, uplatňují ve vzájemných vztazích Lisabonskou úmluvu; starší úmluvy nadále uplatňují ve vztazích se státy, které jsou jejich stranami, avšak nejsou stranami Lisabonské úmluvy. </w:t>
      </w:r>
    </w:p>
    <w:p>
      <w:pPr>
        <w:pStyle w:val="Normal"/>
        <w:spacing w:before="0" w:after="240"/>
        <w:jc w:val="both"/>
        <w:rPr>
          <w:i/>
          <w:iCs/>
        </w:rPr>
      </w:pPr>
      <w:r>
        <w:rPr>
          <w:rFonts w:cs="Arial"/>
          <w:i/>
          <w:iCs/>
        </w:rPr>
        <w:t xml:space="preserve">5.4.4 Práva osob se zdravotním postižením </w:t>
      </w:r>
    </w:p>
    <w:p>
      <w:pPr>
        <w:pStyle w:val="Normal"/>
        <w:spacing w:before="0" w:after="240"/>
        <w:jc w:val="both"/>
        <w:rPr/>
      </w:pPr>
      <w:r>
        <w:rPr>
          <w:rFonts w:cs="Arial"/>
        </w:rPr>
        <w:t>Věcný záměr zohledňuje Úmluvu o právech osob se zdravotním postižením (č. 10/2010 Sb. m. s.), zejména její čl. 5, 9 a čl. 24 odst. 5, které chrání rovný přístup k terciárnímu a celoživotnímu vzdělávání, přístupnost a poskytování přiměřených úprav. Navržený samostatný rámec podpůrných služeb pro studenty se specifickými potřebami a služeb v oblasti ochrany duševního zdraví sleduje srovnatelné podmínky podpory na jednotlivých vysokých školách. Tím věcný záměr podporuje odstraňování překážek účasti na vzdělávání a naplňování uvedené úmluvy. Její čl. 27 tvoří také smluvní základ ochrany osob se zdravotním postižením v pracovním uplatnění, včetně akademických profesí.</w:t>
      </w:r>
    </w:p>
    <w:p>
      <w:pPr>
        <w:pStyle w:val="Normal"/>
        <w:spacing w:before="0" w:after="240"/>
        <w:jc w:val="both"/>
        <w:rPr>
          <w:i/>
          <w:iCs/>
        </w:rPr>
      </w:pPr>
      <w:r>
        <w:rPr>
          <w:rFonts w:cs="Arial"/>
          <w:i/>
          <w:iCs/>
        </w:rPr>
        <w:t xml:space="preserve">5.4.5 Další mezinárodní rámce spolupráce </w:t>
      </w:r>
    </w:p>
    <w:p>
      <w:pPr>
        <w:pStyle w:val="Normal"/>
        <w:spacing w:before="0" w:after="240"/>
        <w:jc w:val="both"/>
        <w:rPr/>
      </w:pPr>
      <w:r>
        <w:rPr>
          <w:rFonts w:cs="Arial"/>
        </w:rPr>
        <w:t>Věcný záměr taktéž zohledňuje politické závazky přijaté v Boloňském procesu a nástroje Evropského prostoru vysokoškolského vzdělávání, zejména Evropský systém přenosu a akumulace kreditů (ECTS), kvalifikační rámec EHEA, standardy a směrnice pro zajišťování kvality ESG a Evropský přístup k zajišťování kvality společných studijních programů. Jejich uplatnění se odráží v kreditovém systému, důrazu na výsledky učení, institucionálním hodnocení kvality a navrženém využití zahraničních agentur registrovaných v EQAR. Jde o rámce mezinárodní spolupráce a politické závazky, které samy nemají povahu mezinárodních smluv závazných pro Českou republiku. Boloňský proces má vlastní mezivládní základ odlišný od členství v Evropské unii.</w:t>
      </w:r>
    </w:p>
    <w:p>
      <w:pPr>
        <w:pStyle w:val="Normal"/>
        <w:spacing w:before="0" w:after="20"/>
        <w:ind w:start="340"/>
        <w:rPr/>
      </w:pPr>
      <w:r>
        <w:rPr/>
      </w:r>
    </w:p>
    <w:p>
      <w:pPr>
        <w:pStyle w:val="Heading2"/>
        <w:shd w:val="clear" w:color="auto" w:fill="548DD4" w:themeFill="text2" w:themeFillTint="99"/>
        <w:rPr>
          <w:color w:val="auto"/>
        </w:rPr>
      </w:pPr>
      <w:r>
        <w:rPr>
          <w:rFonts w:eastAsia="Arial" w:ascii="Arial" w:hAnsi="Arial"/>
          <w:color w:val="auto"/>
          <w:sz w:val="20"/>
          <w:szCs w:val="20"/>
        </w:rPr>
        <w:t>6. Dopadové kapitoly</w:t>
      </w:r>
    </w:p>
    <w:p>
      <w:pPr>
        <w:pStyle w:val="Normal"/>
        <w:spacing w:before="0" w:after="120"/>
        <w:ind w:start="340"/>
        <w:rPr>
          <w:b/>
          <w:bCs/>
        </w:rPr>
      </w:pPr>
      <w:r>
        <w:rPr>
          <w:b/>
          <w:bCs/>
        </w:rPr>
      </w:r>
    </w:p>
    <w:p>
      <w:pPr>
        <w:pStyle w:val="Normal"/>
        <w:shd w:val="clear" w:color="auto" w:fill="95B3D7" w:themeFill="accent1" w:themeFillTint="99"/>
        <w:spacing w:before="0" w:after="120"/>
        <w:rPr>
          <w:b/>
          <w:bCs/>
        </w:rPr>
      </w:pPr>
      <w:r>
        <w:rPr>
          <w:b/>
          <w:bCs/>
        </w:rPr>
        <w:t xml:space="preserve">6.1 Předpokládaný hospodářský a finanční dopad navrhované právní úpravy na státní rozpočet, ostatní veřejné rozpočty a na podnikatelské prostředí České republiky </w:t>
      </w:r>
    </w:p>
    <w:p>
      <w:pPr>
        <w:pStyle w:val="Normal"/>
        <w:spacing w:before="0" w:after="120"/>
        <w:jc w:val="both"/>
        <w:rPr/>
      </w:pPr>
      <w:r>
        <w:rPr/>
        <w:t>Vzhledem k tomu, že věcný záměr stanoví pouze základní koncepci budoucí právní úpravy a neobsahuje konkrétní paragrafové řešení, není v této fázi možné přesně vyčíslit všechny finanční dopady jednotlivých opatření. Přesná kvantifikace nákladů a přínosů bude provedena až v navazující fázi přípravy paragrafového znění zákona.</w:t>
      </w:r>
    </w:p>
    <w:p>
      <w:pPr>
        <w:pStyle w:val="Normal"/>
        <w:spacing w:before="0" w:after="120"/>
        <w:jc w:val="both"/>
        <w:rPr/>
      </w:pPr>
      <w:r>
        <w:rPr/>
        <w:t>Na straně státního rozpočtu lze předpokládat jednorázové náklady spojené s implementací nové právní úpravy. Ty budou souviset zejména s metodickou podporou vysokých škol, úpravami informačních systémů, přípravou nových metodik, standardů a prováděcích předpisů a se zajištěním přechodu na nový systém řízení, financování, akademických kariér a zajišťování kvality. Dodatečné nároky mohou vzniknout také na straně ministerstva v souvislosti s přípravou a správou systému kontraktového financování a na straně Národního akreditačního úřadu pro terciární vzdělávání při výkonu institucionálních auditů a dalších nových činností navrhovaných věcným záměrem.</w:t>
      </w:r>
    </w:p>
    <w:p>
      <w:pPr>
        <w:pStyle w:val="Normal"/>
        <w:spacing w:before="0" w:after="120"/>
        <w:jc w:val="both"/>
        <w:rPr/>
      </w:pPr>
      <w:r>
        <w:rPr/>
        <w:t>Na straně vysokých škol lze očekávat jednorázové náklady spojené s přijetím nových statutů a dalších vnitřních předpisů, nastavením nových řídicích struktur, zavedením systému hodnocení akademických pracovníků, úpravou procesů zajišťování kvality a implementací nových pravidel organizace studia. Tyto náklady budou převážně přechodného charakteru a budou spojeny zejména s obdobím implementace nového zákona. Současně lze předpokládat dlouhodobé přínosy v podobě efektivnějšího řízení institucí, lepšího plánování rozvoje, snížení administrativní zátěže v oblasti akreditací a větší flexibility při hospodaření s finančními prostředky.</w:t>
      </w:r>
    </w:p>
    <w:p>
      <w:pPr>
        <w:pStyle w:val="Normal"/>
        <w:spacing w:before="0" w:after="120"/>
        <w:jc w:val="both"/>
        <w:rPr/>
      </w:pPr>
      <w:r>
        <w:rPr/>
        <w:t>V oblasti financování navrhovaná právní úprava vytváří podmínky pro zavedení víceletého kontraktového financování veřejných vysokých škol. Nepředpokládá se však, že by samotné přijetí zákona zakládalo automatický nárok na zvýšení objemu prostředků poskytovaných vysokým školám ze státního rozpočtu. Návrh mění především způsob plánování, přidělování a vyhodnocování veřejných prostředků a vytváří předpoklady pro silnější propojení financování se strategickými cíli vysokých škol. Současně vytváří podmínky pro efektivnější využívání fondů vysokých škol, využívání úvěrového financování a dalších finančních nástrojů na podporu dlouhodobého rozvoje institucí.</w:t>
      </w:r>
    </w:p>
    <w:p>
      <w:pPr>
        <w:pStyle w:val="Normal"/>
        <w:spacing w:before="0" w:after="120"/>
        <w:jc w:val="both"/>
        <w:rPr/>
      </w:pPr>
      <w:r>
        <w:rPr/>
        <w:t>Ve vztahu k podnikatelskému prostředí lze očekávat převážně pozitivní nepřímé dopady. Návrh posiluje předpoklady pro spolupráci vysokých škol se zaměstnavateli a aplikační sférou, podporuje rozvoj krátkých programů vysokoškolského vzdělávání, mikrocertifikátů a dalších forem celoživotního učení a vytváří podmínky pro rychlejší reakci vzdělávací nabídky na měnící se kvalifikační potřeby trhu práce. Pozitivní dopady lze očekávat také v oblasti transferu znalostí, využívání výsledků výzkumu a podpory inovací. Rozsah těchto přínosů bude záviset na konkrétní podobě navrhované právní úpravy a jejím následném provedení.</w:t>
      </w:r>
    </w:p>
    <w:p>
      <w:pPr>
        <w:pStyle w:val="Normal"/>
        <w:shd w:val="clear" w:color="auto" w:fill="95B3D7" w:themeFill="accent1" w:themeFillTint="99"/>
        <w:spacing w:before="0" w:after="120"/>
        <w:jc w:val="both"/>
        <w:rPr>
          <w:b/>
          <w:bCs/>
        </w:rPr>
      </w:pPr>
      <w:r>
        <w:rPr>
          <w:b/>
          <w:bCs/>
        </w:rPr>
        <w:t>6.2 Zhodnocení sociálních dopadů, včetně dopadů na specifické skupiny obyvatel, zejména osoby sociálně slabé, osoby se zdravotním postižením a národnostní menšiny, dopadů na ochranu práv dětí a dopadů na životní prostředí</w:t>
      </w:r>
    </w:p>
    <w:p>
      <w:pPr>
        <w:pStyle w:val="Normal"/>
        <w:spacing w:before="0" w:after="120"/>
        <w:jc w:val="both"/>
        <w:rPr/>
      </w:pPr>
      <w:r>
        <w:rPr/>
        <w:t>Navrhovaná právní úprava bude mít převážně pozitivní sociální dopady. Jejím hlavním přínosem je vytvoření podmínek pro zvýšení kvality, dostupnosti a prostupnosti vysokoškolského vzdělávání, posílení možností celoživotního učení a lepší reakci vzdělávacího systému na měnící se potřeby společnosti. Současně podporuje rozvoj lidského kapitálu, zvyšování vzdělanostní úrovně obyvatel a lepší uplatnitelnost absolventů na trhu práce.</w:t>
      </w:r>
    </w:p>
    <w:p>
      <w:pPr>
        <w:pStyle w:val="Normal"/>
        <w:spacing w:before="0" w:after="120"/>
        <w:jc w:val="both"/>
        <w:rPr/>
      </w:pPr>
      <w:r>
        <w:rPr/>
        <w:t>Významné pozitivní dopady lze očekávat v oblasti přístupu ke vzdělání. Návrh rozšiřuje vzdělávací příležitosti prostřednictvím větší flexibility studijních cest a rozšíření vzdělávací nabídky. Nově budou zakotveny krátké programy terciárního odborného vzdělávání, širší využívání mikrocertifikátů a vzdělávacích jednotek v rámci celoživotního vzdělávání a větší prostupnost mezi jednotlivými formami a typy vzdělávání. Posílena bude také možnost uznávání předchozího vzdělávání a výsledků učení získaných jak v předchozím studiu, tak prostřednictvím celoživotního vzdělávání. Nahrazení současných forem studia – prezenční, kombinované a distanční – novým pojetím denní a externí formy studia umožní vysokým školám lépe přizpůsobovat organizaci vzdělávání různým skupinám studentů, včetně osob vykonávajících zaměstnání, osob s rodinnými povinnostmi nebo osob vracejících se ke studiu v pozdějších etapách života.</w:t>
      </w:r>
    </w:p>
    <w:p>
      <w:pPr>
        <w:pStyle w:val="Normal"/>
        <w:spacing w:before="0" w:after="120"/>
        <w:jc w:val="both"/>
        <w:rPr/>
      </w:pPr>
      <w:r>
        <w:rPr/>
        <w:t>Pozitivní dopady lze očekávat rovněž ve vztahu ke studentům. Důraz na výsledky učení, flexibilnější organizaci studia a větší prostupnost vzdělávacího systému vytvářejí podmínky pro individuálnější vzdělávací dráhy a lepší slaďování studia s pracovním a osobním životem. Návrh současně vytváří jasný a předvídatelný rámec pro zajišťování podmínek studia studentů se specifickými potřebami prostřednictvím prováděcí vyhlášky, která stanoví pravidla pro poskytování podpůrných služeb a související standardy jejich zajištění. Mezi studenty se specifickými potřebami patří například studenti se smyslovým, tělesným nebo mentálním postižením, studenti se specifickými poruchami učení, chronickým onemocněním, poruchou autistického spektra nebo závažnými psychickými obtížemi. Součástí navrhované úpravy je rovněž vytvoření rámce pro podporu duševního zdraví studentů. Navrhovaná opatření přispějí k zajištění rovných podmínek přístupu ke vzdělávání, odstranění překážek bránících úspěšnému studiu a snížení rizika studijní neúspěšnosti těchto skupin studentů.</w:t>
      </w:r>
    </w:p>
    <w:p>
      <w:pPr>
        <w:pStyle w:val="Normal"/>
        <w:spacing w:before="0" w:after="120"/>
        <w:jc w:val="both"/>
        <w:rPr/>
      </w:pPr>
      <w:r>
        <w:rPr/>
        <w:t>Příznivé sociální dopady lze očekávat také v oblasti zaměstnanosti a profesního rozvoje. Lepší propojení vzdělávání s potřebami praxe, rozvoj krátkých forem vysokoškolského vzdělávání a rozšíření možností průběžného doplňování kvalifikace mohou usnadnit adaptaci jednotlivců na proměny trhu práce, přispět ke zvyšování jejich zaměstnatelnosti a podpořit rozvoj kvalifikované pracovní síly.</w:t>
      </w:r>
    </w:p>
    <w:p>
      <w:pPr>
        <w:pStyle w:val="Normal"/>
        <w:spacing w:before="0" w:after="120"/>
        <w:jc w:val="both"/>
        <w:rPr/>
      </w:pPr>
      <w:r>
        <w:rPr/>
        <w:t>V oblasti akademických kariér lze očekávat pozitivní sociální dopady zejména v podobě vyšší transparentnosti pracovních podmínek, předvídatelnějšího profesního rozvoje a jasně vymezených pravidel pro hodnocení a kariérní postup akademických pracovníků. Hlavní přínosy navrhované úpravy však spočívají především v oblasti personální politiky, řízení lidských zdrojů a zvyšování kvality akademického prostředí. Sociální aspekty související s rovným zacházením, rovnými příležitostmi, kariérními přestávkami, hodnocením pracovníků a podporou diverzity jsou proto podrobněji posouzeny v samostatné části věnované dopadům na zákaz diskriminace a rovnost žen a mužů.</w:t>
      </w:r>
    </w:p>
    <w:p>
      <w:pPr>
        <w:pStyle w:val="Normal"/>
        <w:spacing w:before="0" w:after="120"/>
        <w:jc w:val="both"/>
        <w:rPr/>
      </w:pPr>
      <w:r>
        <w:rPr/>
        <w:t>Celkově lze očekávat, že navrhovaná právní úprava bude mít převážně pozitivní sociální dopady. Přispěje ke zvýšení dostupnosti a kvality vysokoškolského vzdělávání, rozšíření příležitostí pro celoživotní učení, podpoře profesního rozvoje a zaměstnatelnosti obyvatel a k posílení role vysokých škol jako institucí přispívajících k sociální soudržnosti, ekonomickému rozvoji a dlouhodobé prosperitě společnosti.</w:t>
      </w:r>
    </w:p>
    <w:p>
      <w:pPr>
        <w:pStyle w:val="Normal"/>
        <w:shd w:val="clear" w:color="auto" w:fill="95B3D7" w:themeFill="accent1" w:themeFillTint="99"/>
        <w:spacing w:before="0" w:after="120"/>
        <w:rPr>
          <w:b/>
          <w:bCs/>
        </w:rPr>
      </w:pPr>
      <w:r>
        <w:rPr>
          <w:b/>
          <w:bCs/>
        </w:rPr>
        <w:t xml:space="preserve">6.3 Zhodnocení současného stavu a dopadů navrhovaného řešení ve vztahu k zákazu diskriminace a ve vztahu k rovnosti mužů a žen </w:t>
      </w:r>
    </w:p>
    <w:p>
      <w:pPr>
        <w:pStyle w:val="Normal"/>
        <w:spacing w:before="0" w:after="120"/>
        <w:jc w:val="both"/>
        <w:rPr/>
      </w:pPr>
      <w:r>
        <w:rPr/>
        <w:t>Navrhovaná právní úprava má převážně pozitivní dopady v oblasti rovného zacházení, zákazu diskriminace a rovnosti žen a mužů. Vytváří transparentní a předvídatelný rámec fungování vysokých škol založený na objektivních a předem známých pravidlech pro přístup ke studiu, průchod studiem, profesní rozvoj akademických pracovníků i obsazování řídicích a rozhodovacích pozic. Návrh obecně nevytváří podmínky pro neodůvodněné rozdílné zacházení na základě pohlaví, zdravotního postižení, etnického původu, náboženského vyznání, sexuální orientace ani jiných chráněných charakteristik a přispívá k posilování rovnosti příležitostí ve vzdělávání, akademických kariérách a účasti na řízení vysokých škol.</w:t>
      </w:r>
    </w:p>
    <w:p>
      <w:pPr>
        <w:pStyle w:val="Normal"/>
        <w:spacing w:before="0" w:after="120"/>
        <w:jc w:val="both"/>
        <w:rPr/>
      </w:pPr>
      <w:r>
        <w:rPr/>
        <w:t>Významné přínosy lze očekávat zejména v oblasti akademických kariér. Navrhovaná úprava vytváří transparentnější a předvídatelnější rámec profesního rozvoje akademických pracovníků založený na jasně vymezených kariérních stupních, pravidelném hodnocení, objektivních kritériích pro obsazování pracovních míst a zohlednění různých profesních profilů. Hodnocení a kariérní postup budou více reflektovat skutečně vykonávané činnosti a individuální zaměření akademických pracovníků. Současně návrh zohledňuje kariérní přestávky a další okolnosti hodné zvláštního zřetele, což může přispět ke snižování bariér, které v akademickém prostředí dopadají zejména na osoby pečující o děti nebo jiné závislé osoby. Pozitivní dopady lze očekávat také od zavedení postdoktorandských pozic a systému tenure track, které podporují transparentnost kariérního postupu, profesní rozvoj a dlouhodobější plánování akademické kariéry. Přínosem je rovněž větší důraz na otevřenost výběrových řízení, mezinárodní konkurenceschopnost a rovné příležitosti při obsazování akademických pozic.</w:t>
      </w:r>
    </w:p>
    <w:p>
      <w:pPr>
        <w:pStyle w:val="Normal"/>
        <w:spacing w:before="0" w:after="120"/>
        <w:jc w:val="both"/>
        <w:rPr/>
      </w:pPr>
      <w:r>
        <w:rPr/>
        <w:t xml:space="preserve">Pozitivní dopady lze očekávat rovněž v oblasti zastoupení žen a mužů v orgánech vysokých škol. Návrh ukládá vysokým školám povinnost vytvářet pravidla podporující vyvážené zastoupení žen a mužů při ustavování kolektivních orgánů vysoké školy a jejích součástí, pokud tomu nebrání objektivní důvody. Současně se předpokládá zohledňování vyváženého zastoupení žen a mužů při výběru členů univerzitních rad a dalších orgánů vysokých škol. Tato opatření mohou přispět k větší diverzitě rozhodovacích struktur a posílení rovných příležitostí při podílení se na řízení vysokých škol. </w:t>
      </w:r>
    </w:p>
    <w:p>
      <w:pPr>
        <w:pStyle w:val="Normal"/>
        <w:spacing w:before="0" w:after="120"/>
        <w:jc w:val="both"/>
        <w:rPr/>
      </w:pPr>
      <w:r>
        <w:rPr/>
        <w:t>Návrh má pozitivní dopady také na studenty. Vytváří podmínky pro zajištění rovných příležitostí prostřednictvím flexibilnější organizace studia, širších možností uznávání předchozího vzdělávání a výsledků učení, rozvoje celoživotního vzdělávání, mikrocertifikátů a krátkých programů vysokoškolského vzdělávání a zavedení rámce pro poskytování podpůrných služeb studentům se specifickými potřebami. Součástí navrhované úpravy je rovněž vytvoření institucionálních mechanismů ochrany práv studentů. Tato opatření mohou přispět ke snižování bariér, které některým skupinám studentů ztěžují přístup ke vzdělávání nebo jeho úspěšné dokončení. Věcný záměr také obsahuje povinnost pro vysoké školy ustanovit orgán, který se bude zabývat právy studentů.</w:t>
      </w:r>
    </w:p>
    <w:p>
      <w:pPr>
        <w:pStyle w:val="Normal"/>
        <w:spacing w:before="0" w:after="120"/>
        <w:jc w:val="both"/>
        <w:rPr/>
      </w:pPr>
      <w:r>
        <w:rPr/>
        <w:t>Významnou změnou je zavedení externí formy studia. Ta je určena především osobám, které kombinují studium se zaměstnáním, podnikáním, péčí o děti nebo jiné závislé osoby či jinými dlouhodobými povinnostmi. Externí forma studia proto není založena na předpokladu soustavné přípravy na budoucí povolání v rozsahu odpovídajícím denní formě studia, ale na nižší studijní zátěži rozložené do delšího časového období. Cílem je rozšířit přístup k vysokoškolskému vzdělávání osobám, které se nemohou vzdělávání věnovat v rozsahu odpovídajícím denní formě studia, a podpořit slaďování studijního, pracovního a rodinného života.</w:t>
      </w:r>
    </w:p>
    <w:p>
      <w:pPr>
        <w:pStyle w:val="Normal"/>
        <w:spacing w:before="0" w:after="120"/>
        <w:jc w:val="both"/>
        <w:rPr/>
      </w:pPr>
      <w:r>
        <w:rPr/>
        <w:t>Současně však externí forma studia zakládá odlišné právní postavení studentů ve vztahu k právním předpisům navázaným na soustavnou přípravu na budoucí povolání. Studium v externí formě nebude zakládat postavení nezaopatřeného dítěte pro účely zákona o státní sociální podpoře, důchodového pojištění ani dalších právních předpisů využívajících tento pojem, včetně předpisů upravujících veřejné zdravotní pojištění. Toto rozdílné zacházení vychází z odlišné povahy a účelu externí formy studia a z předpokladu, že je určena zejména ekonomicky aktivním osobám. V navazující fázi přípravy zákona bude nezbytné podrobněji vyhodnotit sociální dopady této změny, zejména na studenty a jejich rodiny.</w:t>
      </w:r>
    </w:p>
    <w:p>
      <w:pPr>
        <w:pStyle w:val="Normal"/>
        <w:spacing w:before="0" w:after="120"/>
        <w:jc w:val="both"/>
        <w:rPr/>
      </w:pPr>
      <w:r>
        <w:rPr/>
        <w:t>Pozitivní vliv na rovné zacházení lze spatřovat také v posílení transparentnosti procesů na vysokých školách. Jasnější vymezení kompetencí jednotlivých orgánů, otevřená výběrová řízení na klíčové akademické a manažerské pozice, pravidla pro předcházení střetu zájmů a větší zapojení studentů a externích stakeholderů do procesů zajišťování kvality přispívají k vytváření prostředí založeného na objektivních a předvídatelných pravidlech.</w:t>
      </w:r>
    </w:p>
    <w:p>
      <w:pPr>
        <w:pStyle w:val="Normal"/>
        <w:spacing w:before="0" w:after="120"/>
        <w:jc w:val="both"/>
        <w:rPr/>
      </w:pPr>
      <w:r>
        <w:rPr/>
        <w:t>Rozdílné zacházení přímo založené na věku představuje navrhované skončení pracovního poměru akademického pracovníka sjednaného na dobu neurčitou ke konci kalendářního roku, v němž dosáhne věku 70 let. Toto opatření sleduje legitimní cíle spočívající zejména v podpoře generační obměny, předvídatelném plánování lidských zdrojů a vytváření podmínek pro profesní uplatnění pracovníků v počátečních a středních fázích akademické kariéry. Jeho přiměřenost má být podpořena možností dalšího odborného působení dotčených osob na pracovních místech emeritních akademických pracovníků nebo prostřednictvím jiných forem spolupráce. Při přípravě paragrafového znění bude dále posouzena nezbytnost a přiměřenost tohoto opatření, včetně jeho vztahu k systému pravidelného hodnocení akademických pracovníků, podmínek dalšího pracovního uplatnění po dosažení stanoveného věku a procesních záruk proti svévolnému nebo diskriminačnímu postupu.</w:t>
      </w:r>
    </w:p>
    <w:p>
      <w:pPr>
        <w:pStyle w:val="Normal"/>
        <w:spacing w:before="0" w:after="120"/>
        <w:jc w:val="both"/>
        <w:rPr/>
      </w:pPr>
      <w:r>
        <w:rPr/>
        <w:t>Celkově navrhovaná právní úprava vytváří podmínky pro posilování rovnosti příležitostí, transparentnosti a nediskriminačního přístupu v oblasti vzdělávání i akademických kariér. Identifikované případy rozdílného zacházení, zejména ve vztahu k věku akademických pracovníků a právnímu postavení studentů externí formy studia, sledují legitimní cíle vyplývající z povahy dotčených právních vztahů a jejich přiměřenost bude dále posouzena při přípravě paragrafového znění zákona.</w:t>
      </w:r>
    </w:p>
    <w:p>
      <w:pPr>
        <w:pStyle w:val="Normal"/>
        <w:shd w:val="clear" w:color="auto" w:fill="95B3D7" w:themeFill="accent1" w:themeFillTint="99"/>
        <w:spacing w:before="0" w:after="120"/>
        <w:rPr>
          <w:b/>
          <w:bCs/>
        </w:rPr>
      </w:pPr>
      <w:r>
        <w:rPr>
          <w:b/>
          <w:bCs/>
        </w:rPr>
        <w:t>6.4 Zhodnocení současného stavu a dopadů navrhovaného řešení ve vztahu k ochraně soukromí a osobních údajů</w:t>
      </w:r>
    </w:p>
    <w:p>
      <w:pPr>
        <w:pStyle w:val="Normal"/>
        <w:spacing w:before="0" w:after="120"/>
        <w:jc w:val="both"/>
        <w:rPr/>
      </w:pPr>
      <w:r>
        <w:rPr/>
        <w:t>Současná právní úprava vysokého školství je spojena se zpracováním osobních údajů studentů, uchazečů o studium, akademických pracovníků i dalších zaměstnanců vysokých škol, zejména v souvislosti s přijímacím řízením, vedením matrik studentů, rozhodováním o právech a povinnostech studentů, pracovněprávní agendou, habilitačními a profesorskými řízeními nebo výkonem působnosti Národního akreditačního úřadu pro terciární vzdělávání. Navrhovaný věcný záměr nepředstavuje koncepční změnu, která by zásadním způsobem rozšiřovala okruh zpracovávaných osobních údajů nebo zakládala nové rozsáhlé databáze osobních údajů.</w:t>
      </w:r>
    </w:p>
    <w:p>
      <w:pPr>
        <w:pStyle w:val="Normal"/>
        <w:spacing w:before="0" w:after="120"/>
        <w:jc w:val="both"/>
        <w:rPr/>
      </w:pPr>
      <w:r>
        <w:rPr/>
        <w:t>Navrhovaná právní úprava však předpokládá vznik některých nových procesů a evidencí souvisejících zejména s novým systémem akademických kariér, pravidelným hodnocením akademických pracovníků, postdoktorandskými pozicemi a režimem tenure track, institucionálními audity, evidencí krátkých programů vysokoškolského vzdělávání a mikrocertifikátů, novými formami studia a poskytováním podpůrných služeb studentům. V některých případech může být nezbytné zpracovávat nové kategorie osobních údajů nebo upravit rozsah již zpracovávaných údajů. Současně lze očekávat potřebu úprav informačních systémů vysokých škol, ministerstva, Národního akreditačního úřadu pro terciární vzdělávání a dalších dotčených institucí. Přesný rozsah těchto změn však bude možné posoudit až na základě konkrétní podoby paragrafového znění zákona a navazujících prováděcích předpisů.</w:t>
      </w:r>
    </w:p>
    <w:p>
      <w:pPr>
        <w:pStyle w:val="Normal"/>
        <w:spacing w:before="0" w:after="120"/>
        <w:jc w:val="both"/>
        <w:rPr/>
      </w:pPr>
      <w:r>
        <w:rPr/>
        <w:t>V této fázi legislativního procesu nebyla identifikována potřeba zavádět zpracování osobních údajů v rozsahu, který by představoval významné nové riziko pro práva a svobody fyzických osob. Posouzení nezbytnosti, přiměřenosti a konkrétních dopadů jednotlivých navrhovaných opatření ve vztahu k ochraně soukromí a osobních údajů bude provedeno v navazující fázi přípravy paragrafového znění zákona. Součástí tohoto posouzení bude identifikace konkrétních zpracování osobních údajů, rozsahu zpracovávaných údajů, právních titulů jejich zpracování, doby uchovávání údajů a případných opatření ke snížení rizik pro dotčené osoby.</w:t>
      </w:r>
    </w:p>
    <w:p>
      <w:pPr>
        <w:pStyle w:val="Normal"/>
        <w:spacing w:before="0" w:after="120"/>
        <w:jc w:val="both"/>
        <w:rPr/>
      </w:pPr>
      <w:r>
        <w:rPr/>
        <w:t>Na základě současné podoby věcného záměru lze předpokládat, že navrhovaná právní úprava nebude mít negativní dopady na ochranu soukromí a osobních údajů a že případné změny v rozsahu zpracovávaných údajů budou odpovídat legitimním cílům sledovaným navrhovanou právní úpravou a budou podléhat požadavkům vyplývajícím z obecného nařízení o ochraně osobních údajů (GDPR) a souvisejících právních předpisů.</w:t>
      </w:r>
    </w:p>
    <w:p>
      <w:pPr>
        <w:pStyle w:val="Normal"/>
        <w:shd w:val="clear" w:color="auto" w:fill="95B3D7" w:themeFill="accent1" w:themeFillTint="99"/>
        <w:spacing w:before="0" w:after="120"/>
        <w:rPr>
          <w:b/>
          <w:bCs/>
        </w:rPr>
      </w:pPr>
      <w:r>
        <w:rPr>
          <w:b/>
          <w:bCs/>
        </w:rPr>
        <w:t>6.5 Zhodnocení korupčních rizik</w:t>
      </w:r>
    </w:p>
    <w:p>
      <w:pPr>
        <w:pStyle w:val="Normal"/>
        <w:spacing w:before="0" w:after="120"/>
        <w:jc w:val="both"/>
        <w:rPr/>
      </w:pPr>
      <w:r>
        <w:rPr/>
        <w:t>Navrhovaná právní úprava bude mít převážně pozitivní dopady v oblasti omezování korupčních rizik. Návrh směřuje k vytvoření transparentního a odpovědného systému řízení vysokých škol založeného na jasném vymezení kompetencí jednotlivých orgánů, posílení institucionální odpovědnosti a zavedení předvídatelných pravidel pro výkon klíčových rozhodovacích pravomocí. Navrhovaný model řízení jednoznačně vymezuje role univerzitní rady, rektora, akademického senátu a dalších orgánů, čímž omezuje prostor pro nejasné rozdělení odpovědnosti a netransparentní rozhodovací procesy. Současně dochází k oddělení strategických, kontrolních a výkonných funkcí, což posiluje systém vzájemné kontroly mezi jednotlivými orgány vysoké školy.</w:t>
      </w:r>
    </w:p>
    <w:p>
      <w:pPr>
        <w:pStyle w:val="Normal"/>
        <w:spacing w:before="0" w:after="120"/>
        <w:jc w:val="both"/>
        <w:rPr/>
      </w:pPr>
      <w:r>
        <w:rPr/>
        <w:t>Ke snížení korupčních rizik přispívá také nový způsob obsazování univerzitních rad. Jejich složení bude založeno na kombinaci nominací akademické obce, odborných autorit a externích stakeholderů, přičemž návrh obsahuje pravidla pro předcházení střetu zájmů, neslučitelnost vybraných funkcí a omezení účasti osob s bezprostřední vazbou na výkon politických funkcí. Současně je zakotvena odpovědnost členů univerzitních rad za výkon funkce a mechanismy jejich odvolání v případě závažného porušení povinností.</w:t>
      </w:r>
    </w:p>
    <w:p>
      <w:pPr>
        <w:pStyle w:val="Normal"/>
        <w:spacing w:before="0" w:after="120"/>
        <w:jc w:val="both"/>
        <w:rPr/>
      </w:pPr>
      <w:r>
        <w:rPr/>
        <w:t>Pozitivní dopady lze očekávat rovněž v oblasti personální politiky. Návrh zavádí otevřená a transparentní výběrová řízení na klíčové akademické a vedoucí pozice, jasně definovaná pravidla hodnocení akademických pracovníků a požadavky na složení výběrových a hodnoticích komisí, včetně účasti externích členů a pravidel pro vyloučení střetu zájmů. Tím se omezuje prostor pro netransparentní personální rozhodování a posilují se principy objektivity a rovného zacházení.</w:t>
      </w:r>
    </w:p>
    <w:p>
      <w:pPr>
        <w:pStyle w:val="Normal"/>
        <w:spacing w:before="0" w:after="120"/>
        <w:jc w:val="both"/>
        <w:rPr/>
      </w:pPr>
      <w:r>
        <w:rPr/>
        <w:t>Protikorupční přínosy lze identifikovat také v oblasti hospodaření a nakládání s majetkem. Návrh posiluje kontrolní roli univerzitní rady při schvalování rozpočtu, významných majetkových operací, zřizování právnických osob či nakládání s finančními prostředky. Současně zavádí pravidla pro využívání finančních nástrojů, majetkových účastí a investičních aktivit vysokých škol, včetně povinnosti posuzovat související právní, ekonomická a reputační rizika.</w:t>
      </w:r>
    </w:p>
    <w:p>
      <w:pPr>
        <w:pStyle w:val="Normal"/>
        <w:spacing w:before="0" w:after="120"/>
        <w:jc w:val="both"/>
        <w:rPr/>
      </w:pPr>
      <w:r>
        <w:rPr/>
        <w:t>Důležitým prvkem omezujícím korupční rizika je rovněž posílení transparentnosti v oblasti kvality a akreditací. Zavedení institucionálního auditu, důraz na zveřejňování informací, systematické zapojení studentů a externích stakeholderů do procesů zajišťování kvality a jasné vymezení odpovědnosti jednotlivých aktérů přispívají ke zvýšení veřejné kontroly nad fungováním vysokých škol.</w:t>
      </w:r>
    </w:p>
    <w:p>
      <w:pPr>
        <w:pStyle w:val="Normal"/>
        <w:shd w:val="clear" w:color="auto" w:fill="95B3D7" w:themeFill="accent1" w:themeFillTint="99"/>
        <w:spacing w:before="0" w:after="120"/>
        <w:rPr>
          <w:b/>
          <w:bCs/>
        </w:rPr>
      </w:pPr>
      <w:r>
        <w:rPr>
          <w:b/>
          <w:bCs/>
        </w:rPr>
        <w:t>6.6 Zhodnocení dopadů na bezpečnost nebo obranu státu</w:t>
      </w:r>
    </w:p>
    <w:p>
      <w:pPr>
        <w:pStyle w:val="Normal"/>
        <w:spacing w:before="0" w:after="120"/>
        <w:jc w:val="both"/>
        <w:rPr/>
      </w:pPr>
      <w:r>
        <w:rPr/>
        <w:t>Navrhovaná právní úprava nemá přímý vztah k zajišťování bezpečnosti státu a nepředpokládají se proto přímé dopady na obranyschopnost státu, vnitřní bezpečnost ani výkon působnosti bezpečnostních složek. Nepřímé pozitivní dopady lze očekávat zejména v oblasti rozvoje lidského kapitálu, odborných kompetencí a znalostní základny společnosti. Kvalitní a flexibilní systém vysokého školství přispívá k přípravě odborníků pro oblasti důležité z hlediska bezpečnostních zájmů státu, včetně veřejné správy, obrany, kybernetické bezpečnosti, ochrany obyvatelstva a krizového řízení. Návrh může rovněž posílit schopnost vysokých škol reagovat prostřednictvím vzdělávací, výzkumné a expertní činnosti na nové technologické, společenské a bezpečnostní výzvy.</w:t>
      </w:r>
    </w:p>
    <w:p>
      <w:pPr>
        <w:pStyle w:val="Normal"/>
        <w:shd w:val="clear" w:color="auto" w:fill="95B3D7" w:themeFill="accent1" w:themeFillTint="99"/>
        <w:spacing w:before="0" w:after="120"/>
        <w:rPr>
          <w:b/>
          <w:bCs/>
        </w:rPr>
      </w:pPr>
      <w:r>
        <w:rPr>
          <w:b/>
          <w:bCs/>
        </w:rPr>
        <w:t>6.7 Zhodnocení dopadů na rodiny</w:t>
      </w:r>
    </w:p>
    <w:p>
      <w:pPr>
        <w:pStyle w:val="Normal"/>
        <w:spacing w:before="0" w:after="120"/>
        <w:jc w:val="both"/>
        <w:rPr/>
      </w:pPr>
      <w:r>
        <w:rPr/>
        <w:t>Navrhovaná právní úprava bude mít převážně pozitivní dopady na rodiny. Tyto dopady souvisejí zejména se zvýšením flexibility vysokoškolského vzdělávání a vytvořením podmínek pro lepší slaďování vzdělávacího, pracovního a rodinného života. Rozšíření možností celoživotního vzdělávání, flexibilnější organizace studia, zavedení externí formy studia, širší možnosti uznávání předchozího vzdělávání a rozvoj krátkých programů vysokoškolského vzdělávání a mikrocertifikátů mohou usnadnit přístup ke vzdělávání osobám pečujícím o děti nebo jiné závislé osoby a podpořit jejich pracovní a kvalifikační uplatnění.</w:t>
      </w:r>
    </w:p>
    <w:p>
      <w:pPr>
        <w:pStyle w:val="Normal"/>
        <w:spacing w:before="0" w:after="120"/>
        <w:jc w:val="both"/>
        <w:rPr/>
      </w:pPr>
      <w:r>
        <w:rPr/>
        <w:t>Navrhovaná právní úprava současně zachovává stávající podpůrná opatření související s rodičovstvím studentů vysokých škol a nepředpokládá jejich omezení. Naopak větší flexibilita studijních cest vytváří předpoklady pro lepší skloubení studia s péčí o rodinu a pro snížení překážek, které mohou rodičům komplikovat dokončení vysokoškolského vzdělání. Součástí návrhu je rovněž vytvoření jednotnějšího rámce pro poskytování podpůrných služeb studentům se specifickými potřebami a rozvoj služeb v oblasti podpory duševního zdraví studentů, což může nepřímo přispět ke stabilnějším podmínkám studia a fungování rodin.</w:t>
      </w:r>
    </w:p>
    <w:p>
      <w:pPr>
        <w:pStyle w:val="Normal"/>
        <w:spacing w:before="0" w:after="120"/>
        <w:jc w:val="both"/>
        <w:rPr/>
      </w:pPr>
      <w:r>
        <w:rPr/>
        <w:t>Pozitivní dopady lze očekávat také v oblasti akademických kariér. Navrhovaná právní úprava vychází z předpokladu, že kariérní řády vysokých škol mají vytvářet podmínky pro profesní rozvoj akademických pracovníků bez ohledu na jejich rodinnou situaci. Při nastavení pravidel hodnocení a kariérního postupu se předpokládá zohledňování kariérních přestávek a dalších okolností souvisejících s péčí o děti nebo jiné závislé osoby tak, aby rodinné povinnosti nepůsobily jako překážka profesního rozvoje nebo kariérního postupu.</w:t>
      </w:r>
    </w:p>
    <w:p>
      <w:pPr>
        <w:pStyle w:val="Normal"/>
        <w:shd w:val="clear" w:color="auto" w:fill="95B3D7" w:themeFill="accent1" w:themeFillTint="99"/>
        <w:spacing w:before="0" w:after="120"/>
        <w:rPr>
          <w:b/>
          <w:bCs/>
        </w:rPr>
      </w:pPr>
      <w:r>
        <w:rPr>
          <w:b/>
          <w:bCs/>
        </w:rPr>
        <w:t>6.8 Zhodnocení územních dopadů, včetně dopadů na územní samosprávné celky</w:t>
      </w:r>
    </w:p>
    <w:p>
      <w:pPr>
        <w:pStyle w:val="Normal"/>
        <w:spacing w:before="0" w:after="120"/>
        <w:jc w:val="both"/>
        <w:rPr/>
      </w:pPr>
      <w:r>
        <w:rPr/>
        <w:t>Navrhovaná právní úprava nepředpokládá vznik přímých významných administrativních ani finančních povinností pro územní samosprávné celky. Dopady lze nicméně očekávat v rovině nepřímých přínosů souvisejících s posílením role vysokých škol jako klíčových aktérů regionálního rozvoje, vzdělanosti, inovací a konkurenceschopnosti. Návrh reformních kroků vytváří předpoklady pro dlouhodobější a efektivnější spolupráci vysokých škol s kraji, statutárními městy a dalšími regionálními partnery. Navrhovaná úprava současně počítá se zapojením zástupců relevantních veřejných institucí na národní i krajské úrovni do nových struktur řízení vysokých škol, což může přispět k lepšímu zohledňování regionálních potřeb při strategickém rozvoji jednotlivých institucí.</w:t>
      </w:r>
    </w:p>
    <w:p>
      <w:pPr>
        <w:pStyle w:val="Normal"/>
        <w:spacing w:before="0" w:after="120"/>
        <w:jc w:val="both"/>
        <w:rPr/>
      </w:pPr>
      <w:r>
        <w:rPr/>
        <w:t>Pozitivní dopady lze očekávat zejména v oblasti rozvoje lidského kapitálu v regionech. Flexibilnější studijní nabídka, rozvoj celoživotního vzdělávání, krátkých programů a mikrocertifikátů umožní vysokým školám lépe reagovat na specifické potřeby regionálních trhů práce a podporovat zvyšování kvalifikace obyvatel v průběhu celého profesního života. To může být významné zejména v regionech, které čelí strukturálním změnám ekonomiky nebo nedostatku kvalifikovaných pracovníků. Navrhovaná úprava může rovněž podpořit rozvoj spolupráce vysokých škol s regionálními podniky, veřejnými institucemi a dalšími organizacemi při realizaci výzkumných, inovačních a rozvojových aktivit. Posílení transferu znalostí, aplikovaného výzkumu a spolupráce s aplikační sférou může přispět ke zvyšování inovační výkonnosti regionů a jejich hospodářské konkurenceschopnosti.</w:t>
      </w:r>
    </w:p>
    <w:p>
      <w:pPr>
        <w:pStyle w:val="Normal"/>
        <w:spacing w:before="0" w:after="120"/>
        <w:jc w:val="both"/>
        <w:rPr/>
      </w:pPr>
      <w:r>
        <w:rPr/>
        <w:t>V oblasti zajišťování kvality a internacionalizace lze očekávat nepřímé přínosy spočívající ve zvýšení atraktivity vysokých škol působících v jednotlivých regionech pro domácí i zahraniční studenty, akademické pracovníky a výzkumné partnery. To může mít pozitivní dopady na rozvoj znalostní ekonomiky, podnikatelského prostředí i celkovou atraktivitu regionů.</w:t>
      </w:r>
    </w:p>
    <w:p>
      <w:pPr>
        <w:pStyle w:val="Normal"/>
        <w:spacing w:before="0" w:after="120"/>
        <w:jc w:val="both"/>
        <w:rPr/>
      </w:pPr>
      <w:r>
        <w:rPr/>
        <w:t>Celkově lze očekávat, že navrhovaná právní úprava bude mít na územní samosprávné celky převážně pozitivní nepřímé dopady, zejména prostřednictvím podpory regionálního rozvoje, zvyšování kvalifikační úrovně obyvatel, rozvoje inovačních aktivit a posilování spolupráce mezi vysokými školami a regionálními partnery. Přímé dopady na rozpočty územních samosprávných celků ani na rozsah výkonu jejich působnosti se nepředpokládají.</w:t>
      </w:r>
    </w:p>
    <w:p>
      <w:pPr>
        <w:pStyle w:val="Normal"/>
        <w:shd w:val="clear" w:color="auto" w:fill="95B3D7" w:themeFill="accent1" w:themeFillTint="99"/>
        <w:spacing w:before="0" w:after="120"/>
        <w:jc w:val="both"/>
        <w:rPr>
          <w:b/>
          <w:bCs/>
        </w:rPr>
      </w:pPr>
      <w:r>
        <w:rPr>
          <w:b/>
          <w:bCs/>
        </w:rPr>
        <w:t>6.9 Zhodnocení souladu navrhovaného řešení se zásadami tvorby digitálně přívětivé legislativy, včetně zhodnocení rizika vyloučení nebo omezení možnosti přístupu specifických skupin osob k některým službám v důsledku digitalizace jejich poskytování (digitální vyloučení)</w:t>
      </w:r>
    </w:p>
    <w:p>
      <w:pPr>
        <w:pStyle w:val="Normal"/>
        <w:spacing w:before="0" w:after="120"/>
        <w:jc w:val="both"/>
        <w:rPr/>
      </w:pPr>
      <w:r>
        <w:rPr/>
        <w:t>Navrhovaná právní úprava je v zásadě v souladu se zásadami tvorby digitálně přívětivé legislativy. Vychází z předpokladu, že významná část procesů vysokých škol je již dnes realizována prostřednictvím elektronických informačních systémů a že digitalizace bude i nadále představovat jeden z hlavních nástrojů zvyšování efektivity, dostupnosti a transparentnosti vysokoškolského vzdělávání. Současně návrh vytváří podmínky pro další elektronizaci agend vysokých škol, zejména v oblasti přijímacího řízení, evidence studia, uznávání předchozího vzdělávání, vydávání mikrocertifikátů, řízení kvality a administrace akademických kariér.</w:t>
      </w:r>
    </w:p>
    <w:p>
      <w:pPr>
        <w:pStyle w:val="Normal"/>
        <w:spacing w:before="0" w:after="120"/>
        <w:jc w:val="both"/>
        <w:rPr/>
      </w:pPr>
      <w:r>
        <w:rPr/>
        <w:t>Při přípravě paragrafového znění zákona a prováděcích právních předpisů bude věnována zvýšená pozornost tomu, aby navrhovaná řešení nevedla k nepřiměřeným překážkám v přístupu ke vzdělávání, službám nebo výkonu práv studentů a zaměstnanců vysokých škol z důvodu digitalizace jednotlivých procesů. Současně bude dbáno na zachování alternativních způsobů přístupu ke službám a na zohlednění potřeb osob, které mohou být zvýšeně ohroženy digitálním vyloučením. Přesné vyhodnocení konkrétních digitálních dopadů bude provedeno v navazující fázi přípravy paragrafového znění zákona a souvisejících prováděcích předpisů.</w:t>
      </w:r>
    </w:p>
    <w:p>
      <w:pPr>
        <w:pStyle w:val="Normal"/>
        <w:spacing w:before="0" w:after="120"/>
        <w:ind w:start="340"/>
        <w:jc w:val="both"/>
        <w:rPr/>
      </w:pPr>
      <w:r>
        <w:rPr/>
      </w:r>
    </w:p>
    <w:p>
      <w:pPr>
        <w:pStyle w:val="Normal"/>
        <w:shd w:val="clear" w:color="auto" w:fill="95B3D7" w:themeFill="accent1" w:themeFillTint="99"/>
        <w:spacing w:before="0" w:after="120"/>
        <w:jc w:val="both"/>
        <w:rPr>
          <w:b/>
          <w:bCs/>
        </w:rPr>
      </w:pPr>
      <w:r>
        <w:rPr>
          <w:b/>
          <w:bCs/>
        </w:rPr>
        <w:t>6.10 Informace dle zákona o regulaci lobbování</w:t>
      </w:r>
    </w:p>
    <w:p>
      <w:pPr>
        <w:pStyle w:val="Normal"/>
        <w:spacing w:before="0" w:after="160"/>
        <w:jc w:val="both"/>
        <w:rPr/>
      </w:pPr>
      <w:r>
        <w:rPr/>
        <w:t>Při přípravě předkládaného věcného záměru zákona předkladatel jednal s těmito lobbisty zapsanými v registru lobbování:</w:t>
      </w:r>
    </w:p>
    <w:p>
      <w:pPr>
        <w:pStyle w:val="Normal"/>
        <w:jc w:val="both"/>
        <w:rPr/>
      </w:pPr>
      <w:r>
        <w:rPr/>
        <w:t>•</w:t>
      </w:r>
      <w:r>
        <w:rPr/>
        <w:tab/>
        <w:t>Institut pro rozvoj vysokého školství, z.ú.</w:t>
      </w:r>
    </w:p>
    <w:p>
      <w:pPr>
        <w:pStyle w:val="Normal"/>
        <w:jc w:val="both"/>
        <w:rPr/>
      </w:pPr>
      <w:r>
        <w:rPr/>
        <w:t>•</w:t>
      </w:r>
      <w:r>
        <w:rPr/>
        <w:tab/>
        <w:t>Druhá ekonomická transformace, z.s.</w:t>
      </w:r>
    </w:p>
    <w:p>
      <w:pPr>
        <w:pStyle w:val="Normal"/>
        <w:jc w:val="both"/>
        <w:rPr/>
      </w:pPr>
      <w:r>
        <w:rPr/>
        <w:t>•</w:t>
      </w:r>
      <w:r>
        <w:rPr/>
        <w:tab/>
        <w:t>Hospodářská komora ČR</w:t>
      </w:r>
    </w:p>
    <w:p>
      <w:pPr>
        <w:pStyle w:val="Normal"/>
        <w:jc w:val="both"/>
        <w:rPr/>
      </w:pPr>
      <w:r>
        <w:rPr/>
        <w:t>•</w:t>
      </w:r>
      <w:r>
        <w:rPr/>
        <w:tab/>
        <w:t>Svaz průmyslu a dopravy České republiky</w:t>
      </w:r>
    </w:p>
    <w:p>
      <w:pPr>
        <w:pStyle w:val="Normal"/>
        <w:jc w:val="both"/>
        <w:rPr/>
      </w:pPr>
      <w:r>
        <w:rPr/>
        <w:t>•</w:t>
      </w:r>
      <w:r>
        <w:rPr/>
        <w:tab/>
        <w:t>Czexpats in Science, z.s.</w:t>
      </w:r>
    </w:p>
    <w:p>
      <w:pPr>
        <w:pStyle w:val="Normal"/>
        <w:jc w:val="both"/>
        <w:rPr/>
      </w:pPr>
      <w:r>
        <w:rPr/>
      </w:r>
    </w:p>
    <w:p>
      <w:pPr>
        <w:pStyle w:val="Normal"/>
        <w:spacing w:before="0" w:after="160"/>
        <w:jc w:val="both"/>
        <w:rPr/>
      </w:pPr>
      <w:r>
        <w:rPr/>
        <w:t>Předkladatel dále při přípravě předkládaného věcného záměru zákona inicioval konzultace s Českou konferencí rektorů, Radou vysokých škol a Vysokoškolským odborovým svazem.</w:t>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936" w:right="936" w:gutter="0" w:header="720" w:top="777" w:footer="720" w:bottom="86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swiss"/>
    <w:pitch w:val="variable"/>
  </w:font>
  <w:font w:name="Calibri">
    <w:charset w:val="01"/>
    <w:family w:val="swiss"/>
    <w:pitch w:val="variable"/>
  </w:font>
  <w:font w:name="Calibri">
    <w:charset w:val="01"/>
    <w:family w:val="roman"/>
    <w:pitch w:val="variable"/>
  </w:font>
  <w:font w:name="Courier">
    <w:altName w:val="Courier New"/>
    <w:charset w:val="01"/>
    <w:family w:val="roman"/>
    <w:pitch w:val="variable"/>
  </w:font>
  <w:font w:name="Consolas">
    <w:charset w:val="01"/>
    <w:family w:val="roman"/>
    <w:pitch w:val="variable"/>
  </w:font>
  <w:font w:name="Segoe UI">
    <w:charset w:val="01"/>
    <w:family w:val="swiss"/>
    <w:pitch w:val="variable"/>
  </w:font>
  <w:font w:name="Times New Roman">
    <w:charset w:val="01"/>
    <w:family w:val="roman"/>
    <w:pitch w:val="variable"/>
  </w:font>
  <w:font w:name="Liberation Sans">
    <w:altName w:val="Arial"/>
    <w:charset w:val="01"/>
    <w:family w:val="swiss"/>
    <w:pitch w:val="variable"/>
  </w:font>
  <w:font w:name="Cambria">
    <w:charset w:val="01"/>
    <w:family w:val="swiss"/>
    <w:pitch w:val="variable"/>
  </w:font>
  <w:font w:name="Consolas">
    <w:charset w:val="01"/>
    <w:family w:val="swiss"/>
    <w:pitch w:val="variable"/>
  </w:font>
  <w:font w:name="Ebrima">
    <w:charset w:val="01"/>
    <w:family w:val="swiss"/>
    <w:pitch w:val="variable"/>
  </w:font>
  <w:font w:name="Aptos">
    <w:charset w:val="01"/>
    <w:family w:val="swiss"/>
    <w:pitch w:val="variable"/>
  </w:font>
  <w:font w:name="Cambria Math">
    <w:charset w:val="01"/>
    <w:family w:val="roman"/>
    <w:pitch w:val="variable"/>
  </w:font>
  <w:font w:name="Courier New">
    <w:charset w:val="01"/>
    <w:family w:val="modern"/>
    <w:pitch w:val="fixed"/>
  </w:font>
  <w:font w:name="Wingdings">
    <w:charset w:val="02"/>
    <w:family w:val="auto"/>
    <w:pitch w:val="variable"/>
  </w:font>
  <w:font w:name="Aptos">
    <w:charset w:val="01"/>
    <w:family w:val="auto"/>
    <w:pitch w:val="default"/>
  </w:font>
  <w:font w:name="&quot;Aptos&quot;">
    <w:altName w:val="sans-serif"/>
    <w:charset w:val="01"/>
    <w:family w:val="swiss"/>
    <w:pitch w:val="default"/>
  </w:font>
  <w:font w:name="Noto Sans Symbols">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72584631"/>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71</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72584631"/>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71</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2"/>
        <w:szCs w:val="22"/>
      </w:rPr>
    </w:pPr>
    <w:r>
      <w:rPr>
        <w:b/>
        <w:bCs/>
        <w:sz w:val="22"/>
        <w:szCs w:val="22"/>
      </w:rPr>
      <w:tab/>
      <w:tab/>
    </w:r>
    <w:r>
      <w:rPr>
        <w:sz w:val="22"/>
        <w:szCs w:val="22"/>
      </w:rPr>
      <w:t>č.j. MSMT-17108/2026-3</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2"/>
        <w:szCs w:val="22"/>
      </w:rPr>
    </w:pPr>
    <w:r>
      <w:rPr>
        <w:b/>
        <w:bCs/>
        <w:sz w:val="22"/>
        <w:szCs w:val="22"/>
      </w:rPr>
      <w:tab/>
      <w:tab/>
    </w:r>
    <w:r>
      <w:rPr>
        <w:sz w:val="22"/>
        <w:szCs w:val="22"/>
      </w:rPr>
      <w:t>č.j. MSMT-17108/2026-3</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0">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9">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6">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8">
    <w:lvl w:ilvl="0">
      <w:start w:val="1"/>
      <w:numFmt w:val="bullet"/>
      <w:lvlText w:val=""/>
      <w:lvlJc w:val="start"/>
      <w:pPr>
        <w:tabs>
          <w:tab w:val="num" w:pos="720"/>
        </w:tabs>
        <w:ind w:start="720" w:hanging="360"/>
      </w:pPr>
      <w:rPr>
        <w:rFonts w:ascii="Symbol" w:hAnsi="Symbol" w:cs="Symbol" w:hint="default"/>
        <w:sz w:val="20"/>
      </w:rPr>
    </w:lvl>
    <w:lvl w:ilvl="1">
      <w:start w:val="1"/>
      <w:numFmt w:val="decimal"/>
      <w:lvlText w:val="%2."/>
      <w:lvlJc w:val="start"/>
      <w:pPr>
        <w:tabs>
          <w:tab w:val="num" w:pos="0"/>
        </w:tabs>
        <w:ind w:start="1440" w:hanging="360"/>
      </w:pPr>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2">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440" w:hanging="360"/>
      </w:pPr>
      <w:rPr>
        <w:rFonts w:ascii="Symbol" w:hAnsi="Symbol" w:cs="Symbol"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4">
    <w:lvl w:ilvl="0">
      <w:start w:val="1"/>
      <w:numFmt w:val="bullet"/>
      <w:lvlText w:val="-"/>
      <w:lvlJc w:val="start"/>
      <w:pPr>
        <w:tabs>
          <w:tab w:val="num" w:pos="0"/>
        </w:tabs>
        <w:ind w:start="720" w:hanging="360"/>
      </w:pPr>
      <w:rPr>
        <w:rFonts w:ascii="Aptos" w:hAnsi="Aptos" w:cs="Apto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5">
    <w:lvl w:ilvl="0">
      <w:start w:val="1"/>
      <w:numFmt w:val="bullet"/>
      <w:lvlText w:val="-"/>
      <w:lvlJc w:val="start"/>
      <w:pPr>
        <w:tabs>
          <w:tab w:val="num" w:pos="0"/>
        </w:tabs>
        <w:ind w:start="720" w:hanging="360"/>
      </w:pPr>
      <w:rPr>
        <w:rFonts w:ascii="Aptos" w:hAnsi="Aptos" w:cs="Apto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6">
    <w:lvl w:ilvl="0">
      <w:start w:val="1"/>
      <w:numFmt w:val="bullet"/>
      <w:lvlText w:val="-"/>
      <w:lvlJc w:val="start"/>
      <w:pPr>
        <w:tabs>
          <w:tab w:val="num" w:pos="0"/>
        </w:tabs>
        <w:ind w:start="720" w:hanging="360"/>
      </w:pPr>
      <w:rPr>
        <w:rFonts w:ascii="&quot;Aptos&quot;" w:hAnsi="&quot;Aptos&quot;" w:cs="&quot;Aptos&quot;"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7">
    <w:lvl w:ilvl="0">
      <w:start w:val="1"/>
      <w:numFmt w:val="bullet"/>
      <w:lvlText w:val="■"/>
      <w:lvlJc w:val="start"/>
      <w:pPr>
        <w:tabs>
          <w:tab w:val="num" w:pos="0"/>
        </w:tabs>
        <w:ind w:start="227" w:hanging="227"/>
      </w:pPr>
      <w:rPr>
        <w:rFonts w:ascii="Arial" w:hAnsi="Arial" w:cs="Arial" w:hint="default"/>
      </w:rPr>
    </w:lvl>
    <w:lvl w:ilvl="1">
      <w:start w:val="1"/>
      <w:numFmt w:val="bullet"/>
      <w:lvlText w:val="▪"/>
      <w:lvlJc w:val="start"/>
      <w:pPr>
        <w:tabs>
          <w:tab w:val="num" w:pos="1418"/>
        </w:tabs>
        <w:ind w:start="907" w:hanging="198"/>
      </w:pPr>
      <w:rPr>
        <w:rFonts w:ascii="Arial" w:hAnsi="Arial" w:cs="Arial" w:hint="default"/>
      </w:rPr>
    </w:lvl>
    <w:lvl w:ilvl="2">
      <w:start w:val="1"/>
      <w:numFmt w:val="bullet"/>
      <w:lvlText w:val="■"/>
      <w:lvlJc w:val="start"/>
      <w:pPr>
        <w:tabs>
          <w:tab w:val="num" w:pos="2126"/>
        </w:tabs>
        <w:ind w:start="1644" w:hanging="226"/>
      </w:pPr>
      <w:rPr>
        <w:rFonts w:ascii="Arial" w:hAnsi="Arial" w:cs="Arial" w:hint="default"/>
        <w:color w:themeColor="background2" w:val="EEECE1"/>
      </w:rPr>
    </w:lvl>
    <w:lvl w:ilvl="3">
      <w:start w:val="1"/>
      <w:numFmt w:val="bullet"/>
      <w:lvlText w:val="▪"/>
      <w:lvlJc w:val="start"/>
      <w:pPr>
        <w:tabs>
          <w:tab w:val="num" w:pos="2835"/>
        </w:tabs>
        <w:ind w:start="2325" w:hanging="199"/>
      </w:pPr>
      <w:rPr>
        <w:rFonts w:ascii="Arial" w:hAnsi="Arial" w:cs="Arial" w:hint="default"/>
        <w:color w:themeColor="background2" w:val="EEECE1"/>
      </w:rPr>
    </w:lvl>
    <w:lvl w:ilvl="4">
      <w:start w:val="1"/>
      <w:numFmt w:val="bullet"/>
      <w:lvlText w:val="–"/>
      <w:lvlJc w:val="start"/>
      <w:pPr>
        <w:tabs>
          <w:tab w:val="num" w:pos="3544"/>
        </w:tabs>
        <w:ind w:start="3062" w:hanging="227"/>
      </w:pPr>
      <w:rPr>
        <w:rFonts w:ascii="Arial" w:hAnsi="Arial" w:cs="Arial" w:hint="default"/>
        <w:color w:val="auto"/>
      </w:rPr>
    </w:lvl>
    <w:lvl w:ilvl="5">
      <w:start w:val="1"/>
      <w:numFmt w:val="bullet"/>
      <w:lvlText w:val="·"/>
      <w:lvlJc w:val="start"/>
      <w:pPr>
        <w:tabs>
          <w:tab w:val="num" w:pos="0"/>
        </w:tabs>
        <w:ind w:start="3714" w:hanging="170"/>
      </w:pPr>
      <w:rPr>
        <w:rFonts w:ascii="Arial" w:hAnsi="Arial" w:cs="Arial" w:hint="default"/>
        <w:color w:val="auto"/>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48">
    <w:lvl w:ilvl="0">
      <w:start w:val="1"/>
      <w:numFmt w:val="decimal"/>
      <w:lvlText w:val="%1."/>
      <w:lvlJc w:val="start"/>
      <w:pPr>
        <w:tabs>
          <w:tab w:val="num" w:pos="0"/>
        </w:tabs>
        <w:ind w:start="482" w:hanging="482"/>
      </w:pPr>
      <w:rPr/>
    </w:lvl>
    <w:lvl w:ilvl="1">
      <w:start w:val="1"/>
      <w:numFmt w:val="decimal"/>
      <w:lvlText w:val="%1.%2."/>
      <w:lvlJc w:val="start"/>
      <w:pPr>
        <w:tabs>
          <w:tab w:val="num" w:pos="0"/>
        </w:tabs>
        <w:ind w:start="680" w:hanging="680"/>
      </w:pPr>
      <w:rPr/>
    </w:lvl>
    <w:lvl w:ilvl="2">
      <w:start w:val="1"/>
      <w:numFmt w:val="decimal"/>
      <w:lvlText w:val="%1.%2.%3."/>
      <w:lvlJc w:val="start"/>
      <w:pPr>
        <w:tabs>
          <w:tab w:val="num" w:pos="0"/>
        </w:tabs>
        <w:ind w:start="822" w:hanging="822"/>
      </w:pPr>
      <w:rPr/>
    </w:lvl>
    <w:lvl w:ilvl="3">
      <w:start w:val="1"/>
      <w:numFmt w:val="decimal"/>
      <w:lvlText w:val="%1.%2.%3.%4."/>
      <w:lvlJc w:val="start"/>
      <w:pPr>
        <w:tabs>
          <w:tab w:val="num" w:pos="0"/>
        </w:tabs>
        <w:ind w:start="936" w:hanging="936"/>
      </w:pPr>
      <w:rPr/>
    </w:lvl>
    <w:lvl w:ilvl="4">
      <w:start w:val="1"/>
      <w:numFmt w:val="decimal"/>
      <w:lvlText w:val="%1.%2.%3.%4.%5."/>
      <w:lvlJc w:val="start"/>
      <w:pPr>
        <w:tabs>
          <w:tab w:val="num" w:pos="0"/>
        </w:tabs>
        <w:ind w:start="1049" w:hanging="1049"/>
      </w:pPr>
      <w:rPr/>
    </w:lvl>
    <w:lvl w:ilvl="5">
      <w:start w:val="1"/>
      <w:numFmt w:val="decimal"/>
      <w:lvlText w:val="%1.%2.%3.%4.%5.%6."/>
      <w:lvlJc w:val="start"/>
      <w:pPr>
        <w:tabs>
          <w:tab w:val="num" w:pos="0"/>
        </w:tabs>
        <w:ind w:start="1162" w:hanging="1162"/>
      </w:pPr>
      <w:rPr/>
    </w:lvl>
    <w:lvl w:ilvl="6">
      <w:start w:val="1"/>
      <w:numFmt w:val="none"/>
      <w:suff w:val="nothing"/>
      <w:lvlText w:val=""/>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49">
    <w:lvl w:ilvl="0">
      <w:start w:val="1"/>
      <w:numFmt w:val="decimal"/>
      <w:lvlText w:val="%1."/>
      <w:lvlJc w:val="start"/>
      <w:pPr>
        <w:tabs>
          <w:tab w:val="num" w:pos="0"/>
        </w:tabs>
        <w:ind w:start="681" w:hanging="397"/>
      </w:pPr>
      <w:rPr/>
    </w:lvl>
    <w:lvl w:ilvl="1">
      <w:start w:val="1"/>
      <w:numFmt w:val="decimal"/>
      <w:lvlText w:val="%1.%2."/>
      <w:lvlJc w:val="start"/>
      <w:pPr>
        <w:tabs>
          <w:tab w:val="num" w:pos="0"/>
        </w:tabs>
        <w:ind w:start="964" w:hanging="567"/>
      </w:pPr>
      <w:rPr/>
    </w:lvl>
    <w:lvl w:ilvl="2">
      <w:start w:val="1"/>
      <w:numFmt w:val="decimal"/>
      <w:lvlText w:val="%1.%2.%3."/>
      <w:lvlJc w:val="start"/>
      <w:pPr>
        <w:tabs>
          <w:tab w:val="num" w:pos="0"/>
        </w:tabs>
        <w:ind w:start="1134" w:hanging="737"/>
      </w:pPr>
      <w:rPr/>
    </w:lvl>
    <w:lvl w:ilvl="3">
      <w:start w:val="1"/>
      <w:numFmt w:val="decimal"/>
      <w:lvlText w:val="%1.%2.%3.%4."/>
      <w:lvlJc w:val="start"/>
      <w:pPr>
        <w:tabs>
          <w:tab w:val="num" w:pos="0"/>
        </w:tabs>
        <w:ind w:start="1304" w:hanging="907"/>
      </w:pPr>
      <w:rPr/>
    </w:lvl>
    <w:lvl w:ilvl="4">
      <w:start w:val="1"/>
      <w:numFmt w:val="decimal"/>
      <w:lvlText w:val="%1.%2.%3.%4.%5."/>
      <w:lvlJc w:val="start"/>
      <w:pPr>
        <w:tabs>
          <w:tab w:val="num" w:pos="0"/>
        </w:tabs>
        <w:ind w:start="1474" w:hanging="1077"/>
      </w:pPr>
      <w:rPr/>
    </w:lvl>
    <w:lvl w:ilvl="5">
      <w:start w:val="1"/>
      <w:numFmt w:val="decimal"/>
      <w:lvlText w:val="%1.%2.%3.%4.%5.%6."/>
      <w:lvlJc w:val="start"/>
      <w:pPr>
        <w:tabs>
          <w:tab w:val="num" w:pos="0"/>
        </w:tabs>
        <w:ind w:start="1644" w:hanging="1247"/>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50">
    <w:lvl w:ilvl="0">
      <w:start w:val="1"/>
      <w:numFmt w:val="bullet"/>
      <w:lvlText w:val="§"/>
      <w:lvlJc w:val="start"/>
      <w:pPr>
        <w:tabs>
          <w:tab w:val="num" w:pos="0"/>
        </w:tabs>
        <w:ind w:start="227" w:hanging="227"/>
      </w:pPr>
      <w:rPr>
        <w:rFonts w:ascii="Wingdings" w:hAnsi="Wingdings" w:cs="Wingdings" w:hint="default"/>
        <w:b w:val="false"/>
        <w:i w:val="false"/>
        <w:caps w:val="false"/>
        <w:smallCaps w:val="false"/>
        <w:strike w:val="false"/>
        <w:dstrike w:val="false"/>
        <w:vanish w:val="false"/>
        <w:color w:val="00469B"/>
        <w:position w:val="0"/>
        <w:sz w:val="20"/>
        <w:u w:val="none"/>
        <w:vertAlign w:val="baseline"/>
      </w:rPr>
    </w:lvl>
    <w:lvl w:ilvl="1">
      <w:start w:val="1"/>
      <w:numFmt w:val="bullet"/>
      <w:lvlText w:val="§"/>
      <w:lvlJc w:val="start"/>
      <w:pPr>
        <w:tabs>
          <w:tab w:val="num" w:pos="0"/>
        </w:tabs>
        <w:ind w:start="454" w:hanging="227"/>
      </w:pPr>
      <w:rPr>
        <w:rFonts w:ascii="Wingdings" w:hAnsi="Wingdings" w:cs="Wingdings" w:hint="default"/>
        <w:caps w:val="false"/>
        <w:smallCaps w:val="false"/>
        <w:strike w:val="false"/>
        <w:dstrike w:val="false"/>
        <w:vanish w:val="false"/>
        <w:color w:val="00469B"/>
        <w:position w:val="0"/>
        <w:sz w:val="20"/>
        <w:vertAlign w:val="baseline"/>
      </w:rPr>
    </w:lvl>
    <w:lvl w:ilvl="2">
      <w:start w:val="1"/>
      <w:numFmt w:val="bullet"/>
      <w:lvlText w:val=""/>
      <w:lvlJc w:val="start"/>
      <w:pPr>
        <w:tabs>
          <w:tab w:val="num" w:pos="0"/>
        </w:tabs>
        <w:ind w:start="680" w:hanging="226"/>
      </w:pPr>
      <w:rPr>
        <w:rFonts w:ascii="Wingdings" w:hAnsi="Wingdings" w:cs="Wingdings" w:hint="default"/>
        <w:caps w:val="false"/>
        <w:smallCaps w:val="false"/>
        <w:strike w:val="false"/>
        <w:dstrike w:val="false"/>
        <w:vanish w:val="false"/>
        <w:color w:val="00469B"/>
        <w:position w:val="0"/>
        <w:sz w:val="20"/>
        <w:vertAlign w:val="baseline"/>
      </w:rPr>
    </w:lvl>
    <w:lvl w:ilvl="3">
      <w:start w:val="1"/>
      <w:numFmt w:val="bullet"/>
      <w:lvlText w:val="§"/>
      <w:lvlJc w:val="start"/>
      <w:pPr>
        <w:tabs>
          <w:tab w:val="num" w:pos="0"/>
        </w:tabs>
        <w:ind w:start="907" w:hanging="227"/>
      </w:pPr>
      <w:rPr>
        <w:rFonts w:ascii="Wingdings" w:hAnsi="Wingdings" w:cs="Wingdings" w:hint="default"/>
        <w:color w:val="888B95"/>
      </w:rPr>
    </w:lvl>
    <w:lvl w:ilvl="4">
      <w:start w:val="1"/>
      <w:numFmt w:val="bullet"/>
      <w:lvlText w:val=""/>
      <w:lvlJc w:val="start"/>
      <w:pPr>
        <w:tabs>
          <w:tab w:val="num" w:pos="0"/>
        </w:tabs>
        <w:ind w:start="1134" w:hanging="227"/>
      </w:pPr>
      <w:rPr>
        <w:rFonts w:ascii="Wingdings" w:hAnsi="Wingdings" w:cs="Wingdings" w:hint="default"/>
        <w:color w:val="888B95"/>
      </w:rPr>
    </w:lvl>
    <w:lvl w:ilvl="5">
      <w:start w:val="1"/>
      <w:numFmt w:val="bullet"/>
      <w:lvlText w:val=""/>
      <w:lvlJc w:val="start"/>
      <w:pPr>
        <w:tabs>
          <w:tab w:val="num" w:pos="0"/>
        </w:tabs>
        <w:ind w:start="1361" w:hanging="227"/>
      </w:pPr>
      <w:rPr>
        <w:rFonts w:ascii="Wingdings" w:hAnsi="Wingdings" w:cs="Wingdings" w:hint="default"/>
        <w:color w:val="888B95"/>
      </w:rPr>
    </w:lvl>
    <w:lvl w:ilvl="6">
      <w:start w:val="1"/>
      <w:numFmt w:val="bullet"/>
      <w:lvlText w:val="§"/>
      <w:lvlJc w:val="start"/>
      <w:pPr>
        <w:tabs>
          <w:tab w:val="num" w:pos="0"/>
        </w:tabs>
        <w:ind w:start="1588" w:hanging="227"/>
      </w:pPr>
      <w:rPr>
        <w:rFonts w:ascii="Wingdings" w:hAnsi="Wingdings" w:cs="Wingdings" w:hint="default"/>
        <w:color w:val="888B95"/>
      </w:rPr>
    </w:lvl>
    <w:lvl w:ilvl="7">
      <w:start w:val="1"/>
      <w:numFmt w:val="bullet"/>
      <w:lvlText w:val="§"/>
      <w:lvlJc w:val="start"/>
      <w:pPr>
        <w:tabs>
          <w:tab w:val="num" w:pos="0"/>
        </w:tabs>
        <w:ind w:start="1814" w:hanging="226"/>
      </w:pPr>
      <w:rPr>
        <w:rFonts w:ascii="Wingdings" w:hAnsi="Wingdings" w:cs="Wingdings" w:hint="default"/>
        <w:color w:val="888B95"/>
      </w:rPr>
    </w:lvl>
    <w:lvl w:ilvl="8">
      <w:start w:val="1"/>
      <w:numFmt w:val="bullet"/>
      <w:lvlText w:val="§"/>
      <w:lvlJc w:val="start"/>
      <w:pPr>
        <w:tabs>
          <w:tab w:val="num" w:pos="0"/>
        </w:tabs>
        <w:ind w:start="2041" w:hanging="227"/>
      </w:pPr>
      <w:rPr>
        <w:rFonts w:ascii="Wingdings" w:hAnsi="Wingdings" w:cs="Wingdings" w:hint="default"/>
        <w:color w:val="888B95"/>
      </w:rPr>
    </w:lvl>
  </w:abstractNum>
  <w:abstractNum w:abstractNumId="51">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2">
    <w:lvl w:ilvl="0">
      <w:start w:val="7"/>
      <w:numFmt w:val="bullet"/>
      <w:lvlText w:val="-"/>
      <w:lvlJc w:val="start"/>
      <w:pPr>
        <w:tabs>
          <w:tab w:val="num" w:pos="0"/>
        </w:tabs>
        <w:ind w:start="360" w:hanging="360"/>
      </w:pPr>
      <w:rPr>
        <w:rFonts w:ascii="Arial" w:hAnsi="Arial" w:cs="Arial" w:hint="default"/>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53">
    <w:lvl w:ilvl="0">
      <w:start w:val="7"/>
      <w:numFmt w:val="bullet"/>
      <w:lvlText w:val="-"/>
      <w:lvlJc w:val="start"/>
      <w:pPr>
        <w:tabs>
          <w:tab w:val="num" w:pos="0"/>
        </w:tabs>
        <w:ind w:start="360" w:hanging="360"/>
      </w:pPr>
      <w:rPr>
        <w:rFonts w:ascii="Arial" w:hAnsi="Arial" w:cs="Aria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5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5">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6">
    <w:lvl w:ilvl="0">
      <w:start w:val="1"/>
      <w:numFmt w:val="bullet"/>
      <w:lvlText w:val="-"/>
      <w:lvlJc w:val="start"/>
      <w:pPr>
        <w:tabs>
          <w:tab w:val="num" w:pos="0"/>
        </w:tabs>
        <w:ind w:start="720" w:hanging="360"/>
      </w:pPr>
      <w:rPr>
        <w:rFonts w:ascii="Aptos" w:hAnsi="Aptos" w:cs="Apto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7">
    <w:lvl w:ilvl="0">
      <w:start w:val="1"/>
      <w:numFmt w:val="bullet"/>
      <w:lvlText w:val="-"/>
      <w:lvlJc w:val="start"/>
      <w:pPr>
        <w:tabs>
          <w:tab w:val="num" w:pos="0"/>
        </w:tabs>
        <w:ind w:start="720" w:hanging="360"/>
      </w:pPr>
      <w:rPr>
        <w:rFonts w:ascii="Aptos" w:hAnsi="Aptos" w:cs="Apto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8">
    <w:lvl w:ilvl="0">
      <w:start w:val="1"/>
      <w:numFmt w:val="bullet"/>
      <w:lvlText w:val="-"/>
      <w:lvlJc w:val="start"/>
      <w:pPr>
        <w:tabs>
          <w:tab w:val="num" w:pos="0"/>
        </w:tabs>
        <w:ind w:start="720" w:hanging="360"/>
      </w:pPr>
      <w:rPr>
        <w:rFonts w:ascii="Aptos" w:hAnsi="Aptos" w:cs="Apto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9">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0">
    <w:lvl w:ilvl="0">
      <w:start w:val="1"/>
      <w:numFmt w:val="bullet"/>
      <w:lvlText w:val="-"/>
      <w:lvlJc w:val="start"/>
      <w:pPr>
        <w:tabs>
          <w:tab w:val="num" w:pos="0"/>
        </w:tabs>
        <w:ind w:start="720" w:hanging="360"/>
      </w:pPr>
      <w:rPr>
        <w:rFonts w:ascii="Aptos" w:hAnsi="Aptos" w:cs="Apto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1">
    <w:lvl w:ilvl="0">
      <w:start w:val="1"/>
      <w:numFmt w:val="bullet"/>
      <w:lvlText w:val="-"/>
      <w:lvlJc w:val="start"/>
      <w:pPr>
        <w:tabs>
          <w:tab w:val="num" w:pos="0"/>
        </w:tabs>
        <w:ind w:start="720" w:hanging="360"/>
      </w:pPr>
      <w:rPr>
        <w:rFonts w:ascii="Aptos" w:hAnsi="Aptos" w:cs="Apto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4">
    <w:lvl w:ilvl="0">
      <w:start w:val="1"/>
      <w:numFmt w:val="bullet"/>
      <w:lvlText w:val="o"/>
      <w:lvlJc w:val="start"/>
      <w:pPr>
        <w:tabs>
          <w:tab w:val="num" w:pos="0"/>
        </w:tabs>
        <w:ind w:start="1440" w:hanging="360"/>
      </w:pPr>
      <w:rPr>
        <w:rFonts w:ascii="Courier New" w:hAnsi="Courier New" w:cs="Courier New"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6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7">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8">
    <w:lvl w:ilvl="0">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69">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0">
    <w:lvl w:ilvl="0">
      <w:start w:val="1"/>
      <w:numFmt w:val="decimal"/>
      <w:lvlText w:val="%1)"/>
      <w:lvlJc w:val="start"/>
      <w:pPr>
        <w:tabs>
          <w:tab w:val="num" w:pos="0"/>
        </w:tabs>
        <w:ind w:start="708" w:hanging="708"/>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71">
    <w:lvl w:ilvl="0">
      <w:numFmt w:val="bullet"/>
      <w:lvlText w:val="-"/>
      <w:lvlJc w:val="start"/>
      <w:pPr>
        <w:tabs>
          <w:tab w:val="num" w:pos="0"/>
        </w:tabs>
        <w:ind w:start="360" w:hanging="360"/>
      </w:pPr>
      <w:rPr>
        <w:rFonts w:ascii="Arial" w:hAnsi="Arial" w:cs="Aria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72">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73">
    <w:lvl w:ilvl="0">
      <w:numFmt w:val="bullet"/>
      <w:lvlText w:val="-"/>
      <w:lvlJc w:val="start"/>
      <w:pPr>
        <w:tabs>
          <w:tab w:val="num" w:pos="0"/>
        </w:tabs>
        <w:ind w:start="360" w:hanging="360"/>
      </w:pPr>
      <w:rPr>
        <w:rFonts w:ascii="Arial" w:hAnsi="Arial" w:cs="Aria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74">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5">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76">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7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8">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9">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1">
    <w:lvl w:ilvl="0">
      <w:start w:val="1"/>
      <w:numFmt w:val="bullet"/>
      <w:lvlText w:val="o"/>
      <w:lvlJc w:val="start"/>
      <w:pPr>
        <w:tabs>
          <w:tab w:val="num" w:pos="0"/>
        </w:tabs>
        <w:ind w:start="1428" w:hanging="360"/>
      </w:pPr>
      <w:rPr>
        <w:rFonts w:ascii="Courier New" w:hAnsi="Courier New" w:cs="Courier New" w:hint="default"/>
      </w:rPr>
    </w:lvl>
    <w:lvl w:ilvl="1">
      <w:start w:val="1"/>
      <w:numFmt w:val="bullet"/>
      <w:lvlText w:val="o"/>
      <w:lvlJc w:val="start"/>
      <w:pPr>
        <w:tabs>
          <w:tab w:val="num" w:pos="0"/>
        </w:tabs>
        <w:ind w:start="2148" w:hanging="360"/>
      </w:pPr>
      <w:rPr>
        <w:rFonts w:ascii="Courier New" w:hAnsi="Courier New" w:cs="Courier New" w:hint="default"/>
      </w:rPr>
    </w:lvl>
    <w:lvl w:ilvl="2">
      <w:start w:val="1"/>
      <w:numFmt w:val="bullet"/>
      <w:lvlText w:val=""/>
      <w:lvlJc w:val="start"/>
      <w:pPr>
        <w:tabs>
          <w:tab w:val="num" w:pos="0"/>
        </w:tabs>
        <w:ind w:start="2868" w:hanging="360"/>
      </w:pPr>
      <w:rPr>
        <w:rFonts w:ascii="Wingdings" w:hAnsi="Wingdings" w:cs="Wingdings" w:hint="default"/>
      </w:rPr>
    </w:lvl>
    <w:lvl w:ilvl="3">
      <w:start w:val="1"/>
      <w:numFmt w:val="bullet"/>
      <w:lvlText w:val=""/>
      <w:lvlJc w:val="start"/>
      <w:pPr>
        <w:tabs>
          <w:tab w:val="num" w:pos="0"/>
        </w:tabs>
        <w:ind w:start="3588" w:hanging="360"/>
      </w:pPr>
      <w:rPr>
        <w:rFonts w:ascii="Symbol" w:hAnsi="Symbol" w:cs="Symbol" w:hint="default"/>
      </w:rPr>
    </w:lvl>
    <w:lvl w:ilvl="4">
      <w:start w:val="1"/>
      <w:numFmt w:val="bullet"/>
      <w:lvlText w:val="o"/>
      <w:lvlJc w:val="start"/>
      <w:pPr>
        <w:tabs>
          <w:tab w:val="num" w:pos="0"/>
        </w:tabs>
        <w:ind w:start="4308" w:hanging="360"/>
      </w:pPr>
      <w:rPr>
        <w:rFonts w:ascii="Courier New" w:hAnsi="Courier New" w:cs="Courier New" w:hint="default"/>
      </w:rPr>
    </w:lvl>
    <w:lvl w:ilvl="5">
      <w:start w:val="1"/>
      <w:numFmt w:val="bullet"/>
      <w:lvlText w:val=""/>
      <w:lvlJc w:val="start"/>
      <w:pPr>
        <w:tabs>
          <w:tab w:val="num" w:pos="0"/>
        </w:tabs>
        <w:ind w:start="5028" w:hanging="360"/>
      </w:pPr>
      <w:rPr>
        <w:rFonts w:ascii="Wingdings" w:hAnsi="Wingdings" w:cs="Wingdings" w:hint="default"/>
      </w:rPr>
    </w:lvl>
    <w:lvl w:ilvl="6">
      <w:start w:val="1"/>
      <w:numFmt w:val="bullet"/>
      <w:lvlText w:val=""/>
      <w:lvlJc w:val="start"/>
      <w:pPr>
        <w:tabs>
          <w:tab w:val="num" w:pos="0"/>
        </w:tabs>
        <w:ind w:start="5748" w:hanging="360"/>
      </w:pPr>
      <w:rPr>
        <w:rFonts w:ascii="Symbol" w:hAnsi="Symbol" w:cs="Symbol" w:hint="default"/>
      </w:rPr>
    </w:lvl>
    <w:lvl w:ilvl="7">
      <w:start w:val="1"/>
      <w:numFmt w:val="bullet"/>
      <w:lvlText w:val="o"/>
      <w:lvlJc w:val="start"/>
      <w:pPr>
        <w:tabs>
          <w:tab w:val="num" w:pos="0"/>
        </w:tabs>
        <w:ind w:start="6468" w:hanging="360"/>
      </w:pPr>
      <w:rPr>
        <w:rFonts w:ascii="Courier New" w:hAnsi="Courier New" w:cs="Courier New" w:hint="default"/>
      </w:rPr>
    </w:lvl>
    <w:lvl w:ilvl="8">
      <w:start w:val="1"/>
      <w:numFmt w:val="bullet"/>
      <w:lvlText w:val=""/>
      <w:lvlJc w:val="start"/>
      <w:pPr>
        <w:tabs>
          <w:tab w:val="num" w:pos="0"/>
        </w:tabs>
        <w:ind w:start="7188" w:hanging="360"/>
      </w:pPr>
      <w:rPr>
        <w:rFonts w:ascii="Wingdings" w:hAnsi="Wingdings" w:cs="Wingdings" w:hint="default"/>
      </w:rPr>
    </w:lvl>
  </w:abstractNum>
  <w:abstractNum w:abstractNumId="82">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83">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4">
    <w:lvl w:ilvl="0">
      <w:start w:val="4"/>
      <w:numFmt w:val="decimal"/>
      <w:lvlText w:val="%1"/>
      <w:lvlJc w:val="start"/>
      <w:pPr>
        <w:tabs>
          <w:tab w:val="num" w:pos="0"/>
        </w:tabs>
        <w:ind w:start="450" w:hanging="450"/>
      </w:pPr>
      <w:rPr/>
    </w:lvl>
    <w:lvl w:ilvl="1">
      <w:start w:val="3"/>
      <w:numFmt w:val="decimal"/>
      <w:lvlText w:val="%1.%2"/>
      <w:lvlJc w:val="start"/>
      <w:pPr>
        <w:tabs>
          <w:tab w:val="num" w:pos="0"/>
        </w:tabs>
        <w:ind w:start="450" w:hanging="450"/>
      </w:pPr>
      <w:rPr/>
    </w:lvl>
    <w:lvl w:ilvl="2">
      <w:start w:val="2"/>
      <w:numFmt w:val="decimal"/>
      <w:lvlText w:val="%1.%2.%3"/>
      <w:lvlJc w:val="start"/>
      <w:pPr>
        <w:tabs>
          <w:tab w:val="num" w:pos="0"/>
        </w:tabs>
        <w:ind w:start="720" w:hanging="720"/>
      </w:pPr>
      <w:rPr/>
    </w:lvl>
    <w:lvl w:ilvl="3">
      <w:start w:val="1"/>
      <w:numFmt w:val="decimal"/>
      <w:lvlText w:val="%1.%2.%3.%4"/>
      <w:lvlJc w:val="start"/>
      <w:pPr>
        <w:tabs>
          <w:tab w:val="num" w:pos="0"/>
        </w:tabs>
        <w:ind w:start="720" w:hanging="72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080" w:hanging="1080"/>
      </w:pPr>
      <w:rPr/>
    </w:lvl>
    <w:lvl w:ilvl="6">
      <w:start w:val="1"/>
      <w:numFmt w:val="decimal"/>
      <w:lvlText w:val="%1.%2.%3.%4.%5.%6.%7"/>
      <w:lvlJc w:val="start"/>
      <w:pPr>
        <w:tabs>
          <w:tab w:val="num" w:pos="0"/>
        </w:tabs>
        <w:ind w:start="1440" w:hanging="1440"/>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800" w:hanging="1800"/>
      </w:pPr>
      <w:rPr/>
    </w:lvl>
  </w:abstractNum>
  <w:abstractNum w:abstractNumId="8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Arial"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1" w:semiHidden="1" w:unhideWhenUsed="1" w:qFormat="1"/>
    <w:lsdException w:name="heading 6" w:uiPriority="1"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8"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 w:qFormat="1"/>
    <w:lsdException w:name="Intense Emphasis" w:uiPriority="21" w:qFormat="1"/>
    <w:lsdException w:name="Subtle Reference" w:uiPriority="9" w:qFormat="1"/>
    <w:lsdException w:name="Intense Reference" w:uiPriority="10" w:qFormat="1"/>
    <w:lsdException w:name="Book Title" w:uiPriority="11"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6f3926aa"/>
    <w:pPr>
      <w:widowControl/>
      <w:bidi w:val="0"/>
      <w:spacing w:lineRule="auto" w:line="276" w:before="0" w:after="0"/>
      <w:jc w:val="start"/>
    </w:pPr>
    <w:rPr>
      <w:rFonts w:ascii="Arial" w:hAnsi="Arial" w:eastAsia="Arial" w:cs="Arial" w:cstheme="minorBidi"/>
      <w:color w:val="auto"/>
      <w:kern w:val="0"/>
      <w:sz w:val="20"/>
      <w:szCs w:val="20"/>
      <w:lang w:val="cs-CZ" w:eastAsia="en-US" w:bidi="ar-SA"/>
    </w:rPr>
  </w:style>
  <w:style w:type="paragraph" w:styleId="Heading1">
    <w:name w:val="heading 1"/>
    <w:basedOn w:val="Normal"/>
    <w:next w:val="Normal"/>
    <w:link w:val="Nadpis1Char"/>
    <w:uiPriority w:val="1"/>
    <w:qFormat/>
    <w:rsid w:val="6f3926aa"/>
    <w:pPr>
      <w:keepNext w:val="true"/>
      <w:keepLines/>
      <w:spacing w:before="280" w:after="80"/>
      <w:outlineLvl w:val="0"/>
    </w:pPr>
    <w:rPr>
      <w:rFonts w:ascii="Calibri" w:hAnsi="Calibri" w:eastAsia="ＭＳ ゴシック" w:cs="Times New Roman" w:asciiTheme="majorHAnsi" w:cstheme="majorBidi" w:eastAsiaTheme="majorEastAsia" w:hAnsiTheme="majorHAnsi"/>
      <w:b/>
      <w:bCs/>
      <w:color w:val="1F4E79"/>
      <w:sz w:val="26"/>
      <w:szCs w:val="26"/>
    </w:rPr>
  </w:style>
  <w:style w:type="paragraph" w:styleId="Heading2">
    <w:name w:val="heading 2"/>
    <w:basedOn w:val="Normal"/>
    <w:next w:val="Normal"/>
    <w:link w:val="Nadpis2Char"/>
    <w:uiPriority w:val="1"/>
    <w:unhideWhenUsed/>
    <w:qFormat/>
    <w:rsid w:val="6f3926aa"/>
    <w:pPr>
      <w:keepNext w:val="true"/>
      <w:keepLines/>
      <w:spacing w:before="160" w:after="80"/>
      <w:outlineLvl w:val="1"/>
    </w:pPr>
    <w:rPr>
      <w:rFonts w:ascii="Calibri" w:hAnsi="Calibri" w:eastAsia="ＭＳ ゴシック" w:cs="Times New Roman" w:asciiTheme="majorHAnsi" w:cstheme="majorBidi" w:eastAsiaTheme="majorEastAsia" w:hAnsiTheme="majorHAnsi"/>
      <w:b/>
      <w:bCs/>
      <w:color w:val="1F4E79"/>
      <w:sz w:val="22"/>
      <w:szCs w:val="22"/>
    </w:rPr>
  </w:style>
  <w:style w:type="paragraph" w:styleId="Heading3">
    <w:name w:val="heading 3"/>
    <w:basedOn w:val="Normal"/>
    <w:next w:val="Normal"/>
    <w:uiPriority w:val="1"/>
    <w:unhideWhenUsed/>
    <w:qFormat/>
    <w:rsid w:val="00fc693f"/>
    <w:pPr>
      <w:keepNext w:val="true"/>
      <w:keepLines/>
      <w:spacing w:before="160" w:after="80"/>
      <w:outlineLvl w:val="2"/>
    </w:pPr>
    <w:rPr>
      <w:rFonts w:ascii="Calibri" w:hAnsi="Calibri" w:eastAsia="ＭＳ ゴシック" w:cs="Times New Roman" w:asciiTheme="majorHAnsi" w:cstheme="majorBidi" w:eastAsiaTheme="majorEastAsia" w:hAnsiTheme="majorHAnsi"/>
      <w:b/>
      <w:bCs/>
      <w:color w:val="1F4E79"/>
    </w:rPr>
  </w:style>
  <w:style w:type="paragraph" w:styleId="Heading4">
    <w:name w:val="heading 4"/>
    <w:basedOn w:val="Normal"/>
    <w:next w:val="Normal"/>
    <w:uiPriority w:val="1"/>
    <w:unhideWhenUsed/>
    <w:qFormat/>
    <w:rsid w:val="00fc693f"/>
    <w:pPr>
      <w:keepNext w:val="true"/>
      <w:keepLines/>
      <w:spacing w:before="200" w:after="0"/>
      <w:outlineLvl w:val="3"/>
    </w:pPr>
    <w:rPr>
      <w:rFonts w:ascii="Calibri" w:hAnsi="Calibri" w:eastAsia="ＭＳ ゴシック" w:cs="Times New Roman" w:asciiTheme="majorHAnsi" w:cstheme="majorBidi" w:eastAsiaTheme="majorEastAsia" w:hAnsiTheme="majorHAnsi"/>
      <w:b/>
      <w:bCs/>
      <w:i/>
      <w:iCs/>
      <w:color w:themeColor="accent1" w:val="4F81BD"/>
    </w:rPr>
  </w:style>
  <w:style w:type="paragraph" w:styleId="Heading5">
    <w:name w:val="heading 5"/>
    <w:basedOn w:val="Normal"/>
    <w:next w:val="Normal"/>
    <w:link w:val="Nadpis5Char"/>
    <w:uiPriority w:val="1"/>
    <w:unhideWhenUsed/>
    <w:qFormat/>
    <w:rsid w:val="6f3926aa"/>
    <w:pPr>
      <w:keepNext w:val="true"/>
      <w:keepLines/>
      <w:spacing w:before="200" w:after="0"/>
      <w:outlineLvl w:val="4"/>
    </w:pPr>
    <w:rPr>
      <w:rFonts w:ascii="Calibri" w:hAnsi="Calibri" w:eastAsia="ＭＳ ゴシック" w:cs="Times New Roman" w:asciiTheme="majorHAnsi" w:cstheme="majorBidi" w:eastAsiaTheme="majorEastAsia" w:hAnsiTheme="majorHAnsi"/>
      <w:color w:val="243F60"/>
    </w:rPr>
  </w:style>
  <w:style w:type="paragraph" w:styleId="Heading6">
    <w:name w:val="heading 6"/>
    <w:basedOn w:val="Normal"/>
    <w:next w:val="Normal"/>
    <w:link w:val="Nadpis6Char"/>
    <w:uiPriority w:val="1"/>
    <w:unhideWhenUsed/>
    <w:qFormat/>
    <w:rsid w:val="6f3926aa"/>
    <w:pPr>
      <w:keepNext w:val="true"/>
      <w:keepLines/>
      <w:spacing w:before="200" w:after="0"/>
      <w:outlineLvl w:val="5"/>
    </w:pPr>
    <w:rPr>
      <w:rFonts w:ascii="Calibri" w:hAnsi="Calibri" w:eastAsia="ＭＳ ゴシック" w:cs="Times New Roman" w:asciiTheme="majorHAnsi" w:cstheme="majorBidi" w:eastAsiaTheme="majorEastAsia" w:hAnsiTheme="majorHAnsi"/>
      <w:i/>
      <w:iCs/>
      <w:color w:val="243F60"/>
    </w:rPr>
  </w:style>
  <w:style w:type="paragraph" w:styleId="Heading7">
    <w:name w:val="heading 7"/>
    <w:basedOn w:val="Normal"/>
    <w:next w:val="Normal"/>
    <w:uiPriority w:val="9"/>
    <w:semiHidden/>
    <w:unhideWhenUsed/>
    <w:qFormat/>
    <w:rsid w:val="00fc693f"/>
    <w:pPr>
      <w:keepNext w:val="true"/>
      <w:keepLines/>
      <w:spacing w:before="200" w:after="0"/>
      <w:outlineLvl w:val="6"/>
    </w:pPr>
    <w:rPr>
      <w:rFonts w:ascii="Calibri" w:hAnsi="Calibri" w:eastAsia="ＭＳ ゴシック" w:cs="Times New Roman" w:asciiTheme="majorHAnsi" w:cstheme="majorBidi" w:eastAsiaTheme="majorEastAsia" w:hAnsiTheme="majorHAnsi"/>
      <w:i/>
      <w:iCs/>
      <w:color w:themeColor="text1" w:themeTint="bf" w:val="404040"/>
    </w:rPr>
  </w:style>
  <w:style w:type="paragraph" w:styleId="Heading8">
    <w:name w:val="heading 8"/>
    <w:basedOn w:val="Normal"/>
    <w:next w:val="Normal"/>
    <w:link w:val="Nadpis8Char"/>
    <w:uiPriority w:val="9"/>
    <w:semiHidden/>
    <w:unhideWhenUsed/>
    <w:qFormat/>
    <w:rsid w:val="6f3926aa"/>
    <w:pPr>
      <w:keepNext w:val="true"/>
      <w:keepLines/>
      <w:spacing w:before="200" w:after="0"/>
      <w:outlineLvl w:val="7"/>
    </w:pPr>
    <w:rPr>
      <w:rFonts w:ascii="Calibri" w:hAnsi="Calibri" w:eastAsia="ＭＳ ゴシック" w:cs="Times New Roman" w:asciiTheme="majorHAnsi" w:cstheme="majorBidi" w:eastAsiaTheme="majorEastAsia" w:hAnsiTheme="majorHAnsi"/>
      <w:color w:themeColor="accent1" w:val="4F81BD"/>
    </w:rPr>
  </w:style>
  <w:style w:type="paragraph" w:styleId="Heading9">
    <w:name w:val="heading 9"/>
    <w:basedOn w:val="Normal"/>
    <w:next w:val="Normal"/>
    <w:link w:val="Nadpis9Char"/>
    <w:uiPriority w:val="9"/>
    <w:semiHidden/>
    <w:unhideWhenUsed/>
    <w:qFormat/>
    <w:rsid w:val="6f3926aa"/>
    <w:pPr>
      <w:keepNext w:val="true"/>
      <w:keepLines/>
      <w:spacing w:before="200" w:after="0"/>
      <w:outlineLvl w:val="8"/>
    </w:pPr>
    <w:rPr>
      <w:rFonts w:ascii="Calibri" w:hAnsi="Calibri" w:eastAsia="ＭＳ ゴシック" w:cs="Times New Roman" w:asciiTheme="majorHAnsi" w:cstheme="majorBidi" w:eastAsiaTheme="majorEastAsia" w:hAnsiTheme="majorHAnsi"/>
      <w:i/>
      <w:iCs/>
      <w:color w:themeColor="text1" w:themeTint="bf" w:val="404040"/>
    </w:rPr>
  </w:style>
  <w:style w:type="character" w:styleId="DefaultParagraphFont" w:default="1">
    <w:name w:val="Default Paragraph Font"/>
    <w:uiPriority w:val="1"/>
    <w:semiHidden/>
    <w:unhideWhenUsed/>
    <w:rPr/>
  </w:style>
  <w:style w:type="character" w:styleId="ZhlavChar1" w:customStyle="1">
    <w:name w:val="Záhlaví Char1"/>
    <w:basedOn w:val="DefaultParagraphFont"/>
    <w:uiPriority w:val="99"/>
    <w:semiHidden/>
    <w:rsid w:val="00e618bf"/>
    <w:rPr>
      <w:rFonts w:ascii="Arial" w:hAnsi="Arial" w:eastAsia="Arial"/>
      <w:sz w:val="20"/>
      <w:szCs w:val="20"/>
      <w:lang w:val="cs-CZ"/>
    </w:rPr>
  </w:style>
  <w:style w:type="character" w:styleId="ZpatChar1" w:customStyle="1">
    <w:name w:val="Zápatí Char1"/>
    <w:basedOn w:val="DefaultParagraphFont"/>
    <w:uiPriority w:val="99"/>
    <w:semiHidden/>
    <w:rsid w:val="00e618bf"/>
    <w:rPr>
      <w:rFonts w:ascii="Arial" w:hAnsi="Arial" w:eastAsia="Arial"/>
      <w:sz w:val="20"/>
      <w:szCs w:val="20"/>
      <w:lang w:val="cs-CZ"/>
    </w:rPr>
  </w:style>
  <w:style w:type="character" w:styleId="Nadpis1Char" w:customStyle="1">
    <w:name w:val="Nadpis 1 Char"/>
    <w:basedOn w:val="DefaultParagraphFont"/>
    <w:uiPriority w:val="1"/>
    <w:rsid w:val="00fc693f"/>
    <w:rPr>
      <w:rFonts w:ascii="Calibri" w:hAnsi="Calibri" w:eastAsia="ＭＳ ゴシック" w:cs="Times New Roman" w:asciiTheme="majorHAnsi" w:cstheme="majorBidi" w:eastAsiaTheme="majorEastAsia" w:hAnsiTheme="majorHAnsi"/>
      <w:b/>
      <w:bCs/>
      <w:color w:val="1F4E79"/>
      <w:sz w:val="26"/>
      <w:szCs w:val="26"/>
      <w:lang w:val="cs-CZ"/>
    </w:rPr>
  </w:style>
  <w:style w:type="character" w:styleId="Nadpis2Char" w:customStyle="1">
    <w:name w:val="Nadpis 2 Char"/>
    <w:basedOn w:val="DefaultParagraphFont"/>
    <w:uiPriority w:val="1"/>
    <w:rsid w:val="00fc693f"/>
    <w:rPr>
      <w:rFonts w:ascii="Calibri" w:hAnsi="Calibri" w:eastAsia="ＭＳ ゴシック" w:cs="Times New Roman" w:asciiTheme="majorHAnsi" w:cstheme="majorBidi" w:eastAsiaTheme="majorEastAsia" w:hAnsiTheme="majorHAnsi"/>
      <w:b/>
      <w:bCs/>
      <w:color w:val="1F4E79"/>
      <w:lang w:val="cs-CZ"/>
    </w:rPr>
  </w:style>
  <w:style w:type="character" w:styleId="NzevChar" w:customStyle="1">
    <w:name w:val="Název Char"/>
    <w:basedOn w:val="DefaultParagraphFont"/>
    <w:uiPriority w:val="38"/>
    <w:rsid w:val="00fc693f"/>
    <w:rPr>
      <w:rFonts w:ascii="Calibri" w:hAnsi="Calibri" w:eastAsia="ＭＳ ゴシック" w:cs="Times New Roman" w:asciiTheme="majorHAnsi" w:cstheme="majorBidi" w:eastAsiaTheme="majorEastAsia" w:hAnsiTheme="majorHAnsi"/>
      <w:color w:themeColor="text2" w:themeShade="bf" w:val="17365D"/>
      <w:spacing w:val="5"/>
      <w:kern w:val="2"/>
      <w:sz w:val="52"/>
      <w:szCs w:val="52"/>
    </w:rPr>
  </w:style>
  <w:style w:type="character" w:styleId="PodnadpisChar" w:customStyle="1">
    <w:name w:val="Podnadpis Char"/>
    <w:basedOn w:val="DefaultParagraphFont"/>
    <w:uiPriority w:val="38"/>
    <w:rsid w:val="00fc693f"/>
    <w:rPr>
      <w:rFonts w:ascii="Calibri" w:hAnsi="Calibri" w:eastAsia="ＭＳ ゴシック" w:cs="Times New Roman" w:asciiTheme="majorHAnsi" w:cstheme="majorBidi" w:eastAsiaTheme="majorEastAsia" w:hAnsiTheme="majorHAnsi"/>
      <w:i/>
      <w:iCs/>
      <w:color w:themeColor="accent1" w:val="4F81BD"/>
      <w:spacing w:val="15"/>
      <w:sz w:val="24"/>
      <w:szCs w:val="24"/>
    </w:rPr>
  </w:style>
  <w:style w:type="character" w:styleId="ZkladntextChar" w:customStyle="1">
    <w:name w:val="Základní text Char"/>
    <w:basedOn w:val="DefaultParagraphFont"/>
    <w:uiPriority w:val="99"/>
    <w:rsid w:val="00aa1d8d"/>
    <w:rPr/>
  </w:style>
  <w:style w:type="character" w:styleId="Zkladntext2Char" w:customStyle="1">
    <w:name w:val="Základní text 2 Char"/>
    <w:basedOn w:val="DefaultParagraphFont"/>
    <w:link w:val="BodyText2"/>
    <w:uiPriority w:val="99"/>
    <w:rsid w:val="00aa1d8d"/>
    <w:rPr/>
  </w:style>
  <w:style w:type="character" w:styleId="Zkladntext3Char" w:customStyle="1">
    <w:name w:val="Základní text 3 Char"/>
    <w:basedOn w:val="DefaultParagraphFont"/>
    <w:link w:val="BodyText3"/>
    <w:uiPriority w:val="99"/>
    <w:rsid w:val="00aa1d8d"/>
    <w:rPr>
      <w:sz w:val="16"/>
      <w:szCs w:val="16"/>
    </w:rPr>
  </w:style>
  <w:style w:type="character" w:styleId="TextmakraChar" w:customStyle="1">
    <w:name w:val="Text makra Char"/>
    <w:basedOn w:val="DefaultParagraphFont"/>
    <w:link w:val="MacroText"/>
    <w:uiPriority w:val="99"/>
    <w:rsid w:val="0029639d"/>
    <w:rPr>
      <w:rFonts w:ascii="Courier" w:hAnsi="Courier"/>
      <w:sz w:val="20"/>
      <w:szCs w:val="20"/>
    </w:rPr>
  </w:style>
  <w:style w:type="character" w:styleId="CittChar" w:customStyle="1">
    <w:name w:val="Citát Char"/>
    <w:basedOn w:val="DefaultParagraphFont"/>
    <w:link w:val="Quote"/>
    <w:uiPriority w:val="12"/>
    <w:rsid w:val="00fc693f"/>
    <w:rPr>
      <w:i/>
      <w:iCs/>
      <w:color w:themeColor="text1" w:val="000000"/>
    </w:rPr>
  </w:style>
  <w:style w:type="character" w:styleId="Nadpis5Char" w:customStyle="1">
    <w:name w:val="Nadpis 5 Char"/>
    <w:basedOn w:val="DefaultParagraphFont"/>
    <w:uiPriority w:val="1"/>
    <w:rsid w:val="00fc693f"/>
    <w:rPr>
      <w:rFonts w:ascii="Calibri" w:hAnsi="Calibri" w:eastAsia="ＭＳ ゴシック" w:cs="Times New Roman" w:asciiTheme="majorHAnsi" w:cstheme="majorBidi" w:eastAsiaTheme="majorEastAsia" w:hAnsiTheme="majorHAnsi"/>
      <w:color w:val="243F60"/>
      <w:sz w:val="20"/>
      <w:szCs w:val="20"/>
      <w:lang w:val="cs-CZ"/>
    </w:rPr>
  </w:style>
  <w:style w:type="character" w:styleId="Nadpis6Char" w:customStyle="1">
    <w:name w:val="Nadpis 6 Char"/>
    <w:basedOn w:val="DefaultParagraphFont"/>
    <w:uiPriority w:val="1"/>
    <w:rsid w:val="00fc693f"/>
    <w:rPr>
      <w:rFonts w:ascii="Calibri" w:hAnsi="Calibri" w:eastAsia="ＭＳ ゴシック" w:cs="Times New Roman" w:asciiTheme="majorHAnsi" w:cstheme="majorBidi" w:eastAsiaTheme="majorEastAsia" w:hAnsiTheme="majorHAnsi"/>
      <w:i/>
      <w:iCs/>
      <w:color w:val="243F60"/>
      <w:sz w:val="20"/>
      <w:szCs w:val="20"/>
      <w:lang w:val="cs-CZ"/>
    </w:rPr>
  </w:style>
  <w:style w:type="character" w:styleId="Nadpis8Char" w:customStyle="1">
    <w:name w:val="Nadpis 8 Char"/>
    <w:basedOn w:val="DefaultParagraphFont"/>
    <w:uiPriority w:val="9"/>
    <w:semiHidden/>
    <w:rsid w:val="00fc693f"/>
    <w:rPr>
      <w:rFonts w:ascii="Calibri" w:hAnsi="Calibri" w:eastAsia="ＭＳ ゴシック" w:cs="Times New Roman" w:asciiTheme="majorHAnsi" w:cstheme="majorBidi" w:eastAsiaTheme="majorEastAsia" w:hAnsiTheme="majorHAnsi"/>
      <w:color w:themeColor="accent1" w:val="4F81BD"/>
      <w:sz w:val="20"/>
      <w:szCs w:val="20"/>
      <w:lang w:val="cs-CZ"/>
    </w:rPr>
  </w:style>
  <w:style w:type="character" w:styleId="Nadpis9Char" w:customStyle="1">
    <w:name w:val="Nadpis 9 Char"/>
    <w:basedOn w:val="DefaultParagraphFont"/>
    <w:uiPriority w:val="9"/>
    <w:semiHidden/>
    <w:rsid w:val="00fc693f"/>
    <w:rPr>
      <w:rFonts w:ascii="Calibri" w:hAnsi="Calibri" w:eastAsia="ＭＳ ゴシック" w:cs="Times New Roman" w:asciiTheme="majorHAnsi" w:cstheme="majorBidi" w:eastAsiaTheme="majorEastAsia" w:hAnsiTheme="majorHAnsi"/>
      <w:i/>
      <w:iCs/>
      <w:color w:themeColor="text1" w:themeTint="bf" w:val="404040"/>
      <w:sz w:val="20"/>
      <w:szCs w:val="20"/>
      <w:lang w:val="cs-CZ"/>
    </w:rPr>
  </w:style>
  <w:style w:type="character" w:styleId="Strong">
    <w:name w:val="Strong"/>
    <w:basedOn w:val="DefaultParagraphFont"/>
    <w:uiPriority w:val="6"/>
    <w:qFormat/>
    <w:rsid w:val="00fc693f"/>
    <w:rPr>
      <w:b/>
      <w:bCs/>
    </w:rPr>
  </w:style>
  <w:style w:type="character" w:styleId="Emphasis">
    <w:name w:val="Emphasis"/>
    <w:basedOn w:val="DefaultParagraphFont"/>
    <w:uiPriority w:val="5"/>
    <w:qFormat/>
    <w:rsid w:val="00fc693f"/>
    <w:rPr>
      <w:i/>
      <w:iCs/>
    </w:rPr>
  </w:style>
  <w:style w:type="character" w:styleId="VrazncittChar" w:customStyle="1">
    <w:name w:val="Výrazný citát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5"/>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9"/>
    <w:qFormat/>
    <w:rsid w:val="00fc693f"/>
    <w:rPr>
      <w:smallCaps/>
      <w:color w:themeColor="accent2" w:val="C0504D"/>
      <w:u w:val="single"/>
    </w:rPr>
  </w:style>
  <w:style w:type="character" w:styleId="IntenseReference">
    <w:name w:val="Intense Reference"/>
    <w:basedOn w:val="DefaultParagraphFont"/>
    <w:uiPriority w:val="10"/>
    <w:qFormat/>
    <w:rsid w:val="00fc693f"/>
    <w:rPr>
      <w:b/>
      <w:bCs/>
      <w:smallCaps/>
      <w:color w:themeColor="accent2" w:val="C0504D"/>
      <w:spacing w:val="5"/>
      <w:u w:val="single"/>
    </w:rPr>
  </w:style>
  <w:style w:type="character" w:styleId="BookTitle">
    <w:name w:val="Book Title"/>
    <w:basedOn w:val="DefaultParagraphFont"/>
    <w:uiPriority w:val="11"/>
    <w:qFormat/>
    <w:rsid w:val="00fc693f"/>
    <w:rPr>
      <w:b/>
      <w:bCs/>
      <w:smallCaps/>
      <w:spacing w:val="5"/>
    </w:rPr>
  </w:style>
  <w:style w:type="character" w:styleId="Hyperlink">
    <w:name w:val="Hyperlink"/>
    <w:basedOn w:val="DefaultParagraphFont"/>
    <w:uiPriority w:val="99"/>
    <w:unhideWhenUsed/>
    <w:rsid w:val="00c06bad"/>
    <w:rPr>
      <w:color w:themeColor="hyperlink" w:val="0000FF"/>
      <w:u w:val="single"/>
    </w:rPr>
  </w:style>
  <w:style w:type="character" w:styleId="UnresolvedMention">
    <w:name w:val="Unresolved Mention"/>
    <w:basedOn w:val="DefaultParagraphFont"/>
    <w:uiPriority w:val="99"/>
    <w:semiHidden/>
    <w:unhideWhenUsed/>
    <w:rsid w:val="00625293"/>
    <w:rPr>
      <w:color w:val="605E5C"/>
      <w:shd w:fill="E1DFDD" w:val="clear"/>
    </w:rPr>
  </w:style>
  <w:style w:type="character" w:styleId="FollowedHyperlink">
    <w:name w:val="FollowedHyperlink"/>
    <w:basedOn w:val="DefaultParagraphFont"/>
    <w:uiPriority w:val="99"/>
    <w:semiHidden/>
    <w:unhideWhenUsed/>
    <w:rsid w:val="00625293"/>
    <w:rPr>
      <w:color w:themeColor="followedHyperlink" w:val="800080"/>
      <w:u w:val="single"/>
    </w:rPr>
  </w:style>
  <w:style w:type="character" w:styleId="CommentReference">
    <w:name w:val="annotation reference"/>
    <w:basedOn w:val="DefaultParagraphFont"/>
    <w:uiPriority w:val="99"/>
    <w:semiHidden/>
    <w:unhideWhenUsed/>
    <w:rsid w:val="005f4b6f"/>
    <w:rPr>
      <w:sz w:val="16"/>
      <w:szCs w:val="16"/>
    </w:rPr>
  </w:style>
  <w:style w:type="character" w:styleId="TextkomenteChar" w:customStyle="1">
    <w:name w:val="Text komentáře Char"/>
    <w:basedOn w:val="DefaultParagraphFont"/>
    <w:uiPriority w:val="99"/>
    <w:rsid w:val="005f4b6f"/>
    <w:rPr>
      <w:rFonts w:ascii="Arial" w:hAnsi="Arial" w:eastAsia="Arial"/>
      <w:sz w:val="20"/>
      <w:szCs w:val="20"/>
      <w:lang w:val="cs-CZ"/>
    </w:rPr>
  </w:style>
  <w:style w:type="character" w:styleId="PedmtkomenteChar" w:customStyle="1">
    <w:name w:val="Předmět komentáře Char"/>
    <w:basedOn w:val="TextkomenteChar"/>
    <w:link w:val="annotationsubject"/>
    <w:uiPriority w:val="99"/>
    <w:semiHidden/>
    <w:rsid w:val="005f4b6f"/>
    <w:rPr>
      <w:rFonts w:ascii="Arial" w:hAnsi="Arial" w:eastAsia="Arial"/>
      <w:b/>
      <w:bCs/>
      <w:sz w:val="20"/>
      <w:szCs w:val="20"/>
      <w:lang w:val="cs-CZ"/>
    </w:rPr>
  </w:style>
  <w:style w:type="character" w:styleId="NzevChar1" w:customStyle="1">
    <w:name w:val="Název Char1"/>
    <w:basedOn w:val="DefaultParagraphFont"/>
    <w:uiPriority w:val="10"/>
    <w:rsid w:val="00534b81"/>
    <w:rPr>
      <w:rFonts w:ascii="Calibri" w:hAnsi="Calibri" w:eastAsia="ＭＳ ゴシック" w:cs="Times New Roman" w:asciiTheme="majorHAnsi" w:cstheme="majorBidi" w:eastAsiaTheme="majorEastAsia" w:hAnsiTheme="majorHAnsi"/>
      <w:spacing w:val="-10"/>
      <w:kern w:val="2"/>
      <w:sz w:val="56"/>
      <w:szCs w:val="56"/>
      <w:lang w:val="cs-CZ"/>
    </w:rPr>
  </w:style>
  <w:style w:type="character" w:styleId="PodnadpisChar1" w:customStyle="1">
    <w:name w:val="Podnadpis Char1"/>
    <w:basedOn w:val="DefaultParagraphFont"/>
    <w:uiPriority w:val="11"/>
    <w:rsid w:val="00534b81"/>
    <w:rPr>
      <w:rFonts w:eastAsia="ＭＳ ゴシック" w:cs="Times New Roman" w:cstheme="majorBidi" w:eastAsiaTheme="majorEastAsia"/>
      <w:color w:themeColor="text1" w:themeTint="a6" w:val="595959"/>
      <w:spacing w:val="15"/>
      <w:sz w:val="28"/>
      <w:szCs w:val="28"/>
      <w:lang w:val="cs-CZ"/>
    </w:rPr>
  </w:style>
  <w:style w:type="character" w:styleId="ZkladntextChar1" w:customStyle="1">
    <w:name w:val="Základní text Char1"/>
    <w:basedOn w:val="DefaultParagraphFont"/>
    <w:uiPriority w:val="99"/>
    <w:semiHidden/>
    <w:rsid w:val="00534b81"/>
    <w:rPr>
      <w:rFonts w:ascii="Arial" w:hAnsi="Arial" w:eastAsia="Arial"/>
      <w:sz w:val="20"/>
      <w:szCs w:val="20"/>
      <w:lang w:val="cs-CZ"/>
    </w:rPr>
  </w:style>
  <w:style w:type="character" w:styleId="Zkladntext2Char1" w:customStyle="1">
    <w:name w:val="Základní text 2 Char1"/>
    <w:basedOn w:val="DefaultParagraphFont"/>
    <w:uiPriority w:val="99"/>
    <w:semiHidden/>
    <w:rsid w:val="00534b81"/>
    <w:rPr>
      <w:rFonts w:ascii="Arial" w:hAnsi="Arial" w:eastAsia="Arial"/>
      <w:sz w:val="20"/>
      <w:szCs w:val="20"/>
      <w:lang w:val="cs-CZ"/>
    </w:rPr>
  </w:style>
  <w:style w:type="character" w:styleId="Zkladntext3Char1" w:customStyle="1">
    <w:name w:val="Základní text 3 Char1"/>
    <w:basedOn w:val="DefaultParagraphFont"/>
    <w:uiPriority w:val="99"/>
    <w:semiHidden/>
    <w:rsid w:val="00534b81"/>
    <w:rPr>
      <w:rFonts w:ascii="Arial" w:hAnsi="Arial" w:eastAsia="Arial"/>
      <w:sz w:val="16"/>
      <w:szCs w:val="16"/>
      <w:lang w:val="cs-CZ"/>
    </w:rPr>
  </w:style>
  <w:style w:type="character" w:styleId="TextmakraChar1" w:customStyle="1">
    <w:name w:val="Text makra Char1"/>
    <w:basedOn w:val="DefaultParagraphFont"/>
    <w:uiPriority w:val="99"/>
    <w:semiHidden/>
    <w:rsid w:val="00534b81"/>
    <w:rPr>
      <w:rFonts w:ascii="Consolas" w:hAnsi="Consolas" w:eastAsia="Arial"/>
      <w:sz w:val="20"/>
      <w:szCs w:val="20"/>
      <w:lang w:val="cs-CZ"/>
    </w:rPr>
  </w:style>
  <w:style w:type="character" w:styleId="CittChar1" w:customStyle="1">
    <w:name w:val="Citát Char1"/>
    <w:basedOn w:val="DefaultParagraphFont"/>
    <w:uiPriority w:val="29"/>
    <w:rsid w:val="00534b81"/>
    <w:rPr>
      <w:rFonts w:ascii="Arial" w:hAnsi="Arial" w:eastAsia="Arial"/>
      <w:i/>
      <w:iCs/>
      <w:color w:themeColor="text1" w:themeTint="bf" w:val="404040"/>
      <w:sz w:val="20"/>
      <w:szCs w:val="20"/>
      <w:lang w:val="cs-CZ"/>
    </w:rPr>
  </w:style>
  <w:style w:type="character" w:styleId="VrazncittChar1" w:customStyle="1">
    <w:name w:val="Výrazný citát Char1"/>
    <w:basedOn w:val="DefaultParagraphFont"/>
    <w:uiPriority w:val="30"/>
    <w:rsid w:val="00534b81"/>
    <w:rPr>
      <w:rFonts w:ascii="Arial" w:hAnsi="Arial" w:eastAsia="Arial"/>
      <w:i/>
      <w:iCs/>
      <w:color w:themeColor="accent1" w:themeShade="bf" w:val="365F91"/>
      <w:sz w:val="20"/>
      <w:szCs w:val="20"/>
      <w:lang w:val="cs-CZ"/>
    </w:rPr>
  </w:style>
  <w:style w:type="character" w:styleId="TextkomenteChar1" w:customStyle="1">
    <w:name w:val="Text komentáře Char1"/>
    <w:basedOn w:val="DefaultParagraphFont"/>
    <w:uiPriority w:val="99"/>
    <w:rsid w:val="00534b81"/>
    <w:rPr>
      <w:rFonts w:ascii="Arial" w:hAnsi="Arial" w:eastAsia="Arial"/>
      <w:sz w:val="20"/>
      <w:szCs w:val="20"/>
      <w:lang w:val="cs-CZ"/>
    </w:rPr>
  </w:style>
  <w:style w:type="character" w:styleId="PedmtkomenteChar1" w:customStyle="1">
    <w:name w:val="Předmět komentáře Char1"/>
    <w:basedOn w:val="TextkomenteChar1"/>
    <w:uiPriority w:val="99"/>
    <w:semiHidden/>
    <w:rsid w:val="00534b81"/>
    <w:rPr>
      <w:rFonts w:ascii="Arial" w:hAnsi="Arial" w:eastAsia="Arial"/>
      <w:b/>
      <w:bCs/>
      <w:sz w:val="20"/>
      <w:szCs w:val="20"/>
      <w:lang w:val="cs-CZ"/>
    </w:rPr>
  </w:style>
  <w:style w:type="character" w:styleId="ZhlavChar" w:customStyle="1">
    <w:name w:val="Záhlaví Char"/>
    <w:basedOn w:val="DefaultParagraphFont"/>
    <w:uiPriority w:val="99"/>
    <w:rsid w:val="00534b81"/>
    <w:rPr/>
  </w:style>
  <w:style w:type="character" w:styleId="ZpatChar" w:customStyle="1">
    <w:name w:val="Zápatí Char"/>
    <w:basedOn w:val="DefaultParagraphFont"/>
    <w:uiPriority w:val="99"/>
    <w:rsid w:val="00534b81"/>
    <w:rPr/>
  </w:style>
  <w:style w:type="character" w:styleId="Nadpis3Char" w:customStyle="1">
    <w:name w:val="Nadpis 3 Char"/>
    <w:basedOn w:val="DefaultParagraphFont"/>
    <w:uiPriority w:val="1"/>
    <w:rsid w:val="00534b81"/>
    <w:rPr>
      <w:rFonts w:ascii="Calibri" w:hAnsi="Calibri" w:eastAsia="ＭＳ ゴシック" w:cs="Times New Roman" w:asciiTheme="majorHAnsi" w:cstheme="majorBidi" w:eastAsiaTheme="majorEastAsia" w:hAnsiTheme="majorHAnsi"/>
      <w:b/>
      <w:bCs/>
      <w:color w:themeColor="accent1" w:val="4F81BD"/>
    </w:rPr>
  </w:style>
  <w:style w:type="character" w:styleId="Nadpis4Char" w:customStyle="1">
    <w:name w:val="Nadpis 4 Char"/>
    <w:basedOn w:val="DefaultParagraphFont"/>
    <w:uiPriority w:val="1"/>
    <w:rsid w:val="00534b81"/>
    <w:rPr>
      <w:rFonts w:ascii="Calibri" w:hAnsi="Calibri" w:eastAsia="ＭＳ ゴシック" w:cs="Times New Roman" w:asciiTheme="majorHAnsi" w:cstheme="majorBidi" w:eastAsiaTheme="majorEastAsia" w:hAnsiTheme="majorHAnsi"/>
      <w:b/>
      <w:bCs/>
      <w:i/>
      <w:iCs/>
      <w:color w:themeColor="accent1" w:val="4F81BD"/>
    </w:rPr>
  </w:style>
  <w:style w:type="character" w:styleId="Nadpis7Char" w:customStyle="1">
    <w:name w:val="Nadpis 7 Char"/>
    <w:basedOn w:val="DefaultParagraphFont"/>
    <w:uiPriority w:val="9"/>
    <w:semiHidden/>
    <w:rsid w:val="00534b81"/>
    <w:rPr>
      <w:rFonts w:ascii="Calibri" w:hAnsi="Calibri" w:eastAsia="ＭＳ ゴシック" w:cs="Times New Roman" w:asciiTheme="majorHAnsi" w:cstheme="majorBidi" w:eastAsiaTheme="majorEastAsia" w:hAnsiTheme="majorHAnsi"/>
      <w:i/>
      <w:iCs/>
      <w:color w:themeColor="text1" w:themeTint="bf" w:val="404040"/>
    </w:rPr>
  </w:style>
  <w:style w:type="character" w:styleId="TextpoznpodarouChar" w:customStyle="1">
    <w:name w:val="Text pozn. pod čarou Char"/>
    <w:basedOn w:val="DefaultParagraphFont"/>
    <w:uiPriority w:val="99"/>
    <w:rsid w:val="009147f6"/>
    <w:rPr>
      <w:rFonts w:eastAsia="Cambria" w:eastAsiaTheme="minorHAnsi"/>
      <w:sz w:val="20"/>
      <w:szCs w:val="20"/>
      <w:lang w:val="cs-CZ"/>
    </w:rPr>
  </w:style>
  <w:style w:type="character" w:styleId="Znakypropoznmkupodarou">
    <w:name w:val="Znaky pro poznámku pod čarou"/>
    <w:basedOn w:val="DefaultParagraphFont"/>
    <w:uiPriority w:val="99"/>
    <w:unhideWhenUsed/>
    <w:rsid w:val="009147f6"/>
    <w:rPr>
      <w:vertAlign w:val="superscript"/>
    </w:rPr>
  </w:style>
  <w:style w:type="character" w:styleId="FootnoteReference">
    <w:name w:val="footnote reference"/>
    <w:rPr>
      <w:vertAlign w:val="superscript"/>
    </w:rPr>
  </w:style>
  <w:style w:type="character" w:styleId="TitulekChar" w:customStyle="1">
    <w:name w:val="Titulek Char"/>
    <w:basedOn w:val="DefaultParagraphFont"/>
    <w:uiPriority w:val="35"/>
    <w:rsid w:val="009147f6"/>
    <w:rPr>
      <w:rFonts w:ascii="Arial" w:hAnsi="Arial" w:eastAsia="Arial"/>
      <w:b/>
      <w:bCs/>
      <w:color w:themeColor="accent1" w:val="4F81BD"/>
      <w:sz w:val="18"/>
      <w:szCs w:val="18"/>
      <w:lang w:val="cs-CZ"/>
    </w:rPr>
  </w:style>
  <w:style w:type="character" w:styleId="TitulkyChar" w:customStyle="1">
    <w:name w:val="Titulky Char"/>
    <w:basedOn w:val="TitulekChar"/>
    <w:link w:val="Titulky"/>
    <w:rsid w:val="009147f6"/>
    <w:rPr>
      <w:rFonts w:ascii="Arial" w:hAnsi="Arial" w:eastAsia="Cambria" w:eastAsiaTheme="minorHAnsi"/>
      <w:b w:val="false"/>
      <w:bCs w:val="false"/>
      <w:color w:themeColor="accent1" w:val="4F81BD"/>
      <w:sz w:val="18"/>
      <w:szCs w:val="18"/>
      <w:lang w:val="cs-CZ" w:eastAsia="cs-CZ"/>
    </w:rPr>
  </w:style>
  <w:style w:type="character" w:styleId="TextbublinyChar" w:customStyle="1">
    <w:name w:val="Text bubliny Char"/>
    <w:basedOn w:val="DefaultParagraphFont"/>
    <w:link w:val="BalloonText"/>
    <w:uiPriority w:val="99"/>
    <w:semiHidden/>
    <w:rsid w:val="009147f6"/>
    <w:rPr>
      <w:rFonts w:ascii="Segoe UI" w:hAnsi="Segoe UI" w:eastAsia="Cambria" w:cs="Segoe UI" w:eastAsiaTheme="minorHAnsi"/>
      <w:sz w:val="18"/>
      <w:szCs w:val="18"/>
      <w:lang w:val="cs-CZ"/>
    </w:rPr>
  </w:style>
  <w:style w:type="character" w:styleId="normaltextrun" w:customStyle="1">
    <w:name w:val="normaltextrun"/>
    <w:basedOn w:val="DefaultParagraphFont"/>
    <w:rsid w:val="00e80f89"/>
    <w:rPr/>
  </w:style>
  <w:style w:type="character" w:styleId="eop" w:customStyle="1">
    <w:name w:val="eop"/>
    <w:basedOn w:val="DefaultParagraphFont"/>
    <w:rsid w:val="00e80f89"/>
    <w:rPr/>
  </w:style>
  <w:style w:type="character" w:styleId="wacimagecontainer" w:customStyle="1">
    <w:name w:val="wacimagecontainer"/>
    <w:basedOn w:val="DefaultParagraphFont"/>
    <w:rsid w:val="00e80f89"/>
    <w:rPr/>
  </w:style>
  <w:style w:type="character" w:styleId="Znakyprovysvtlivky">
    <w:name w:val="Znaky pro vysvětlivky"/>
    <w:basedOn w:val="DefaultParagraphFont"/>
    <w:uiPriority w:val="99"/>
    <w:semiHidden/>
    <w:unhideWhenUsed/>
    <w:rsid w:val="00d666aa"/>
    <w:rPr>
      <w:vertAlign w:val="superscript"/>
    </w:rPr>
  </w:style>
  <w:style w:type="character" w:styleId="EndnoteReference">
    <w:name w:val="endnote reference"/>
    <w:rPr>
      <w:vertAlign w:val="superscript"/>
    </w:rPr>
  </w:style>
  <w:style w:type="character" w:styleId="TextvysvtlivekChar" w:customStyle="1">
    <w:name w:val="Text vysvětlivek Char"/>
    <w:basedOn w:val="DefaultParagraphFont"/>
    <w:link w:val="Textvysvtlivek1"/>
    <w:uiPriority w:val="99"/>
    <w:semiHidden/>
    <w:rsid w:val="00d666aa"/>
    <w:rPr>
      <w:sz w:val="16"/>
    </w:rPr>
  </w:style>
  <w:style w:type="character" w:styleId="PlaceholderText">
    <w:name w:val="Placeholder Text"/>
    <w:basedOn w:val="DefaultParagraphFont"/>
    <w:uiPriority w:val="99"/>
    <w:semiHidden/>
    <w:rsid w:val="00d666aa"/>
    <w:rPr>
      <w:color w:val="666666"/>
    </w:rPr>
  </w:style>
  <w:style w:type="character" w:styleId="Nadpis2netunChar" w:customStyle="1">
    <w:name w:val="Nadpis 2 netučný Char"/>
    <w:basedOn w:val="Nadpis2Char"/>
    <w:link w:val="Nadpis2netun"/>
    <w:rsid w:val="00d666aa"/>
    <w:rPr>
      <w:rFonts w:ascii="Calibri" w:hAnsi="Calibri" w:eastAsia="ＭＳ ゴシック" w:cs="Times New Roman" w:asciiTheme="majorHAnsi" w:cstheme="majorBidi" w:eastAsiaTheme="majorEastAsia" w:hAnsiTheme="majorHAnsi"/>
      <w:b w:val="false"/>
      <w:bCs w:val="false"/>
      <w:color w:val="545860"/>
      <w:kern w:val="2"/>
      <w:sz w:val="32"/>
      <w:szCs w:val="32"/>
      <w:lang w:val="cs-CZ"/>
      <w14:ligatures w14:val="standardContextual"/>
    </w:rPr>
  </w:style>
  <w:style w:type="character" w:styleId="JVSOdrkaChar" w:customStyle="1">
    <w:name w:val="JVS Odrážka Char"/>
    <w:basedOn w:val="DefaultParagraphFont"/>
    <w:link w:val="JVSOdrka"/>
    <w:rsid w:val="00d666aa"/>
    <w:rPr>
      <w:rFonts w:ascii="Arial" w:hAnsi="Arial" w:eastAsia="MS Mincho"/>
      <w:sz w:val="20"/>
      <w:szCs w:val="20"/>
      <w:lang w:val="cs-CZ" w:eastAsia="cs-CZ"/>
    </w:rPr>
  </w:style>
  <w:style w:type="character" w:styleId="tabulkatextChar" w:customStyle="1">
    <w:name w:val="tabulka text Char"/>
    <w:basedOn w:val="DefaultParagraphFont"/>
    <w:link w:val="tabulkatext"/>
    <w:rsid w:val="00d666aa"/>
    <w:rPr>
      <w:rFonts w:ascii="Arial" w:hAnsi="Arial" w:eastAsia="MS Mincho" w:cs="Azeret Mono"/>
      <w:sz w:val="20"/>
      <w:szCs w:val="20"/>
      <w:lang w:val="cs-CZ" w:eastAsia="cs-CZ"/>
    </w:rPr>
  </w:style>
  <w:style w:type="character" w:styleId="pismenaodrazkyChar" w:customStyle="1">
    <w:name w:val="pismena odrazky Char"/>
    <w:basedOn w:val="JVSOdrkaChar"/>
    <w:link w:val="pismenaodrazky"/>
    <w:rsid w:val="00d666aa"/>
    <w:rPr>
      <w:rFonts w:ascii="Arial" w:hAnsi="Arial" w:eastAsia="MS Mincho"/>
      <w:sz w:val="20"/>
      <w:szCs w:val="20"/>
      <w:lang w:val="cs-CZ" w:eastAsia="cs-CZ"/>
    </w:rPr>
  </w:style>
  <w:style w:type="character" w:styleId="tabulkanadpisChar" w:customStyle="1">
    <w:name w:val="tabulka nadpis Char"/>
    <w:basedOn w:val="DefaultParagraphFont"/>
    <w:link w:val="tabulkanadpis"/>
    <w:rsid w:val="00d666aa"/>
    <w:rPr>
      <w:rFonts w:ascii="Arial" w:hAnsi="Arial" w:eastAsia="MS Mincho" w:cs="Azeret Mono"/>
      <w:b/>
      <w:bCs/>
      <w:color w:val="FFFFFF"/>
      <w:lang w:val="cs-CZ" w:eastAsia="cs-CZ"/>
    </w:rPr>
  </w:style>
  <w:style w:type="character" w:styleId="TitulNadpisChar" w:customStyle="1">
    <w:name w:val="Titul Nadpis Char"/>
    <w:basedOn w:val="DefaultParagraphFont"/>
    <w:link w:val="TitulNadpis"/>
    <w:rsid w:val="00d666aa"/>
    <w:rPr>
      <w:rFonts w:ascii="Arial" w:hAnsi="Arial" w:eastAsia="MS Mincho" w:cs="Arial"/>
      <w:b/>
      <w:bCs/>
      <w:color w:val="00459B"/>
      <w:sz w:val="60"/>
      <w:szCs w:val="60"/>
      <w:lang w:val="cs-CZ" w:eastAsia="cs-CZ"/>
    </w:rPr>
  </w:style>
  <w:style w:type="character" w:styleId="Zkladntextodsazen2Char" w:customStyle="1">
    <w:name w:val="Základní text odsazený 2 Char"/>
    <w:basedOn w:val="DefaultParagraphFont"/>
    <w:link w:val="BodyTextIndent2"/>
    <w:uiPriority w:val="99"/>
    <w:semiHidden/>
    <w:rsid w:val="00d666aa"/>
    <w:rPr>
      <w:rFonts w:ascii="Times New Roman" w:hAnsi="Times New Roman" w:eastAsia="Times New Roman" w:cs="Times New Roman"/>
      <w:sz w:val="20"/>
      <w:szCs w:val="20"/>
      <w:lang w:val="cs-CZ" w:eastAsia="cs-CZ"/>
    </w:rPr>
  </w:style>
  <w:style w:type="character" w:styleId="ZkladntextodsazenChar" w:customStyle="1">
    <w:name w:val="Základní text odsazený Char"/>
    <w:basedOn w:val="DefaultParagraphFont"/>
    <w:uiPriority w:val="99"/>
    <w:semiHidden/>
    <w:rsid w:val="00d666aa"/>
    <w:rPr>
      <w:rFonts w:ascii="Times New Roman" w:hAnsi="Times New Roman" w:eastAsia="Times New Roman" w:cs="Times New Roman"/>
      <w:sz w:val="20"/>
      <w:szCs w:val="20"/>
      <w:lang w:val="cs-CZ" w:eastAsia="cs-CZ"/>
    </w:rPr>
  </w:style>
  <w:style w:type="character" w:styleId="ProsttextChar" w:customStyle="1">
    <w:name w:val="Prostý text Char"/>
    <w:basedOn w:val="DefaultParagraphFont"/>
    <w:link w:val="PlainText"/>
    <w:uiPriority w:val="99"/>
    <w:rsid w:val="00d666aa"/>
    <w:rPr>
      <w:rFonts w:ascii="Consolas" w:hAnsi="Consolas" w:eastAsia="Calibri" w:cs="Times New Roman"/>
      <w:sz w:val="21"/>
      <w:szCs w:val="21"/>
      <w:lang w:val="cs-CZ"/>
    </w:rPr>
  </w:style>
  <w:style w:type="character" w:styleId="poznamkaChar" w:customStyle="1">
    <w:name w:val="poznamka Char"/>
    <w:basedOn w:val="TextpoznpodarouChar"/>
    <w:link w:val="poznamka"/>
    <w:rsid w:val="00d666aa"/>
    <w:rPr>
      <w:rFonts w:eastAsia="Cambria" w:eastAsiaTheme="minorHAnsi"/>
      <w:kern w:val="2"/>
      <w:sz w:val="15"/>
      <w:szCs w:val="20"/>
      <w:lang w:val="cs-CZ"/>
      <w14:ligatures w14:val="standardContextual"/>
    </w:rPr>
  </w:style>
  <w:style w:type="character" w:styleId="odst2Char" w:customStyle="1">
    <w:name w:val="odst2 Char"/>
    <w:basedOn w:val="DefaultParagraphFont"/>
    <w:link w:val="odst2"/>
    <w:rsid w:val="00d666aa"/>
    <w:rPr>
      <w:rFonts w:ascii="Arial" w:hAnsi="Arial" w:eastAsia="Arial" w:cs="Arial"/>
      <w:color w:val="000000"/>
      <w:sz w:val="20"/>
      <w:szCs w:val="20"/>
      <w:lang w:val="cs-CZ"/>
    </w:rPr>
  </w:style>
  <w:style w:type="character" w:styleId="zpattitulnstrnkaChar" w:customStyle="1">
    <w:name w:val="zápatí titulní stránka Char"/>
    <w:basedOn w:val="ZpatChar"/>
    <w:link w:val="zpattitulnstrnka"/>
    <w:rsid w:val="00d666aa"/>
    <w:rPr>
      <w:rFonts w:ascii="Arial" w:hAnsi="Arial" w:eastAsia="Arial"/>
      <w:color w:val="888B95"/>
      <w:kern w:val="2"/>
      <w:sz w:val="16"/>
      <w:szCs w:val="20"/>
      <w:lang w:val="cs-CZ"/>
      <w14:ligatures w14:val="standardContextual"/>
    </w:rPr>
  </w:style>
  <w:style w:type="character" w:styleId="zpatpublikaceChar" w:customStyle="1">
    <w:name w:val="zápatí publikace Char"/>
    <w:basedOn w:val="ZpatChar"/>
    <w:link w:val="zpatpublikace"/>
    <w:rsid w:val="00d666aa"/>
    <w:rPr>
      <w:rFonts w:ascii="Arial" w:hAnsi="Arial" w:eastAsia="Arial"/>
      <w:color w:val="888B95"/>
      <w:kern w:val="2"/>
      <w:sz w:val="16"/>
      <w:szCs w:val="20"/>
      <w:lang w:val="cs-CZ"/>
      <w14:ligatures w14:val="standardContextual"/>
    </w:rPr>
  </w:style>
  <w:style w:type="character" w:styleId="TitulpodnadpisChar" w:customStyle="1">
    <w:name w:val="Titul podnadpis Char"/>
    <w:basedOn w:val="DefaultParagraphFont"/>
    <w:link w:val="Titulpodnadpis"/>
    <w:rsid w:val="00d666aa"/>
    <w:rPr>
      <w:rFonts w:ascii="Arial" w:hAnsi="Arial" w:eastAsia="Arial"/>
      <w:color w:val="545860"/>
      <w:kern w:val="2"/>
      <w:sz w:val="32"/>
      <w:szCs w:val="32"/>
      <w:lang w:val="cs-CZ"/>
      <w14:ligatures w14:val="standardContextual"/>
    </w:rPr>
  </w:style>
  <w:style w:type="character" w:styleId="TitulnormlnChar" w:customStyle="1">
    <w:name w:val="Titul normální Char"/>
    <w:basedOn w:val="DefaultParagraphFont"/>
    <w:link w:val="Titulnormln"/>
    <w:rsid w:val="00d666aa"/>
    <w:rPr>
      <w:rFonts w:ascii="Arial" w:hAnsi="Arial" w:eastAsia="Arial"/>
      <w:color w:val="545860"/>
      <w:kern w:val="2"/>
      <w:sz w:val="26"/>
      <w:szCs w:val="26"/>
      <w:lang w:val="cs-CZ"/>
      <w14:ligatures w14:val="standardContextual"/>
    </w:rPr>
  </w:style>
  <w:style w:type="character" w:styleId="Nadpis2modrChar" w:customStyle="1">
    <w:name w:val="Nadpis 2 modrý Char"/>
    <w:basedOn w:val="Nadpis2Char"/>
    <w:link w:val="Nadpis2modr"/>
    <w:rsid w:val="00d666aa"/>
    <w:rPr>
      <w:rFonts w:ascii="Calibri" w:hAnsi="Calibri" w:eastAsia="ＭＳ ゴシック" w:cs="Times New Roman" w:asciiTheme="majorHAnsi" w:cstheme="majorBidi" w:eastAsiaTheme="majorEastAsia" w:hAnsiTheme="majorHAnsi"/>
      <w:b/>
      <w:bCs/>
      <w:color w:val="00469B"/>
      <w:kern w:val="2"/>
      <w:sz w:val="32"/>
      <w:szCs w:val="32"/>
      <w:lang w:val="cs-CZ"/>
      <w14:ligatures w14:val="standardContextual"/>
    </w:rPr>
  </w:style>
  <w:style w:type="character" w:styleId="Nadpis3modrChar" w:customStyle="1">
    <w:name w:val="Nadpis 3 modrý Char"/>
    <w:basedOn w:val="Nadpis3Char"/>
    <w:link w:val="Nadpis3modr"/>
    <w:rsid w:val="00d666aa"/>
    <w:rPr>
      <w:rFonts w:ascii="Arial" w:hAnsi="Arial" w:eastAsia="ＭＳ ゴシック" w:cs="Times New Roman" w:cstheme="majorBidi" w:eastAsiaTheme="majorEastAsia"/>
      <w:b/>
      <w:bCs/>
      <w:color w:val="00469B"/>
      <w:kern w:val="2"/>
      <w:sz w:val="28"/>
      <w:szCs w:val="28"/>
      <w:lang w:val="cs-CZ"/>
      <w14:ligatures w14:val="standardContextual"/>
    </w:rPr>
  </w:style>
  <w:style w:type="character" w:styleId="Nadpis4modrChar" w:customStyle="1">
    <w:name w:val="Nadpis 4 modrý Char"/>
    <w:basedOn w:val="Nadpis4Char"/>
    <w:link w:val="Nadpis4modr"/>
    <w:rsid w:val="00d666aa"/>
    <w:rPr>
      <w:rFonts w:ascii="Arial" w:hAnsi="Arial" w:eastAsia="ＭＳ ゴシック" w:cs="Times New Roman" w:cstheme="majorBidi" w:eastAsiaTheme="majorEastAsia"/>
      <w:b/>
      <w:bCs/>
      <w:i w:val="false"/>
      <w:iCs w:val="false"/>
      <w:color w:val="00469B"/>
      <w:kern w:val="2"/>
      <w:sz w:val="24"/>
      <w:szCs w:val="24"/>
      <w:lang w:val="cs-CZ"/>
      <w14:ligatures w14:val="standardContextual"/>
    </w:rPr>
  </w:style>
  <w:style w:type="character" w:styleId="Nadpis5modrChar" w:customStyle="1">
    <w:name w:val="Nadpis 5 modrý Char"/>
    <w:basedOn w:val="Nadpis5Char"/>
    <w:link w:val="Nadpis5modr"/>
    <w:rsid w:val="00d666aa"/>
    <w:rPr>
      <w:rFonts w:ascii="Arial" w:hAnsi="Arial" w:eastAsia="ＭＳ ゴシック" w:cs="Times New Roman" w:cstheme="majorBidi" w:eastAsiaTheme="majorEastAsia"/>
      <w:b/>
      <w:bCs/>
      <w:color w:val="00469B"/>
      <w:kern w:val="2"/>
      <w:sz w:val="20"/>
      <w:szCs w:val="20"/>
      <w:lang w:val="cs-CZ"/>
      <w14:ligatures w14:val="standardContextual"/>
    </w:rPr>
  </w:style>
  <w:style w:type="character" w:styleId="Nadpis6modrChar" w:customStyle="1">
    <w:name w:val="Nadpis 6 modrý Char"/>
    <w:basedOn w:val="Nadpis6Char"/>
    <w:link w:val="Nadpis6modr"/>
    <w:rsid w:val="00d666aa"/>
    <w:rPr>
      <w:rFonts w:ascii="Arial" w:hAnsi="Arial" w:eastAsia="ＭＳ ゴシック" w:cs="Times New Roman" w:cstheme="majorBidi" w:eastAsiaTheme="majorEastAsia"/>
      <w:b/>
      <w:bCs/>
      <w:i w:val="false"/>
      <w:iCs w:val="false"/>
      <w:color w:val="00469B"/>
      <w:kern w:val="2"/>
      <w:sz w:val="20"/>
      <w:szCs w:val="20"/>
      <w:lang w:val="cs-CZ"/>
      <w14:ligatures w14:val="standardContextual"/>
    </w:rPr>
  </w:style>
  <w:style w:type="character" w:styleId="CittpodbarvenChar" w:customStyle="1">
    <w:name w:val="Citát podbarvení Char"/>
    <w:basedOn w:val="CittChar"/>
    <w:link w:val="Cittpodbarven"/>
    <w:rsid w:val="00d666aa"/>
    <w:rPr>
      <w:rFonts w:eastAsia="Arial"/>
      <w:i/>
      <w:iCs/>
      <w:color w:themeColor="text1" w:val="000000"/>
      <w:kern w:val="2"/>
      <w:sz w:val="20"/>
      <w:szCs w:val="20"/>
      <w:shd w:fill="D3E6F5" w:val="clear"/>
      <w:lang w:val="cs-CZ"/>
      <w14:ligatures w14:val="standardContextual"/>
    </w:rPr>
  </w:style>
  <w:style w:type="character" w:styleId="Nadpis3edChar" w:customStyle="1">
    <w:name w:val="Nadpis 3 šedý Char"/>
    <w:basedOn w:val="Nadpis3Char"/>
    <w:link w:val="Nadpis3ed"/>
    <w:rsid w:val="00d666aa"/>
    <w:rPr>
      <w:rFonts w:ascii="Calibri" w:hAnsi="Calibri" w:eastAsia="ＭＳ ゴシック" w:cs="Times New Roman" w:asciiTheme="majorHAnsi" w:cstheme="majorBidi" w:eastAsiaTheme="majorEastAsia" w:hAnsiTheme="majorHAnsi"/>
      <w:b/>
      <w:bCs/>
      <w:color w:val="545860"/>
      <w:kern w:val="2"/>
      <w:sz w:val="24"/>
      <w:szCs w:val="28"/>
      <w:lang w:val="cs-CZ"/>
      <w14:ligatures w14:val="standardContextual"/>
    </w:rPr>
  </w:style>
  <w:style w:type="character" w:styleId="TextvysvtlivekChar1" w:customStyle="1">
    <w:name w:val="Text vysvětlivek Char1"/>
    <w:basedOn w:val="DefaultParagraphFont"/>
    <w:uiPriority w:val="99"/>
    <w:semiHidden/>
    <w:rsid w:val="00d666aa"/>
    <w:rPr>
      <w:rFonts w:ascii="Arial" w:hAnsi="Arial" w:eastAsia="Arial"/>
      <w:sz w:val="20"/>
      <w:szCs w:val="20"/>
      <w:lang w:val="cs-CZ"/>
    </w:rPr>
  </w:style>
  <w:style w:type="paragraph" w:styleId="Nadpis">
    <w:name w:val="Nadpis"/>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ZkladntextChar"/>
    <w:uiPriority w:val="99"/>
    <w:unhideWhenUsed/>
    <w:rsid w:val="00a341d1"/>
    <w:pPr>
      <w:spacing w:before="0" w:after="120"/>
    </w:pPr>
    <w:rPr>
      <w:rFonts w:ascii="Cambria" w:hAnsi="Cambria" w:eastAsia="ＭＳ 明朝" w:asciiTheme="minorHAnsi" w:eastAsiaTheme="minorEastAsia" w:hAnsiTheme="minorHAnsi"/>
      <w:sz w:val="22"/>
      <w:szCs w:val="22"/>
      <w:lang w:val="en-US"/>
    </w:rPr>
  </w:style>
  <w:style w:type="paragraph" w:styleId="List">
    <w:name w:val="List"/>
    <w:basedOn w:val="Normal"/>
    <w:uiPriority w:val="99"/>
    <w:unhideWhenUsed/>
    <w:rsid w:val="00aa1d8d"/>
    <w:pPr>
      <w:spacing w:before="0" w:after="0"/>
      <w:ind w:hanging="360" w:start="360"/>
      <w:contextualSpacing/>
    </w:pPr>
    <w:rPr/>
  </w:style>
  <w:style w:type="paragraph" w:styleId="Caption">
    <w:name w:val="caption"/>
    <w:basedOn w:val="Normal"/>
    <w:next w:val="Normal"/>
    <w:link w:val="TitulekChar"/>
    <w:uiPriority w:val="35"/>
    <w:unhideWhenUsed/>
    <w:qFormat/>
    <w:rsid w:val="00fc693f"/>
    <w:pPr/>
    <w:rPr>
      <w:b/>
      <w:bCs/>
      <w:color w:themeColor="accent1" w:val="4F81BD"/>
      <w:sz w:val="18"/>
      <w:szCs w:val="18"/>
    </w:rPr>
  </w:style>
  <w:style w:type="paragraph" w:styleId="Rejstk">
    <w:name w:val="Rejstřík"/>
    <w:basedOn w:val="Normal"/>
    <w:pPr>
      <w:suppressLineNumbers/>
    </w:pPr>
    <w:rPr>
      <w:rFonts w:cs="Lucida Sans"/>
    </w:rPr>
  </w:style>
  <w:style w:type="paragraph" w:styleId="Zhlavazpat">
    <w:name w:val="Záhlaví a zápatí"/>
    <w:basedOn w:val="Normal"/>
    <w:pPr/>
    <w:rPr/>
  </w:style>
  <w:style w:type="paragraph" w:styleId="Header">
    <w:name w:val="header"/>
    <w:basedOn w:val="Normal"/>
    <w:link w:val="ZhlavChar1"/>
    <w:uiPriority w:val="99"/>
    <w:unhideWhenUsed/>
    <w:qFormat/>
    <w:rsid w:val="00ce4e27"/>
    <w:pPr>
      <w:tabs>
        <w:tab w:val="clear" w:pos="720"/>
        <w:tab w:val="center" w:pos="4536" w:leader="none"/>
        <w:tab w:val="right" w:pos="9072" w:leader="none"/>
      </w:tabs>
      <w:spacing w:lineRule="auto" w:line="240"/>
    </w:pPr>
    <w:rPr/>
  </w:style>
  <w:style w:type="paragraph" w:styleId="Footer">
    <w:name w:val="footer"/>
    <w:basedOn w:val="Normal"/>
    <w:link w:val="ZpatChar1"/>
    <w:uiPriority w:val="99"/>
    <w:unhideWhenUsed/>
    <w:rsid w:val="00ce4e27"/>
    <w:pPr>
      <w:tabs>
        <w:tab w:val="clear" w:pos="720"/>
        <w:tab w:val="center" w:pos="4536" w:leader="none"/>
        <w:tab w:val="right" w:pos="9072" w:leader="none"/>
      </w:tabs>
      <w:spacing w:lineRule="auto" w:line="24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Arial"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NzevChar"/>
    <w:uiPriority w:val="38"/>
    <w:qFormat/>
    <w:rsid w:val="00a341d1"/>
    <w:pPr>
      <w:pBdr>
        <w:bottom w:val="single" w:sz="8" w:space="4" w:color="4F81BD" w:themeColor="accent1"/>
      </w:pBdr>
      <w:spacing w:before="0" w:after="300"/>
      <w:contextualSpacing/>
    </w:pPr>
    <w:rPr>
      <w:rFonts w:ascii="Calibri" w:hAnsi="Calibri" w:eastAsia="ＭＳ ゴシック" w:cs="Times New Roman" w:asciiTheme="majorHAnsi" w:cstheme="majorBidi" w:eastAsiaTheme="majorEastAsia" w:hAnsiTheme="majorHAnsi"/>
      <w:color w:themeColor="text2" w:themeShade="bf" w:val="17365D"/>
      <w:spacing w:val="5"/>
      <w:kern w:val="2"/>
      <w:sz w:val="52"/>
      <w:szCs w:val="52"/>
      <w:lang w:val="en-US"/>
    </w:rPr>
  </w:style>
  <w:style w:type="paragraph" w:styleId="Subtitle">
    <w:name w:val="Subtitle"/>
    <w:basedOn w:val="Normal"/>
    <w:next w:val="Normal"/>
    <w:link w:val="PodnadpisChar"/>
    <w:uiPriority w:val="38"/>
    <w:qFormat/>
    <w:rsid w:val="00a341d1"/>
    <w:pPr/>
    <w:rPr>
      <w:rFonts w:ascii="Calibri" w:hAnsi="Calibri" w:eastAsia="ＭＳ ゴシック" w:cs="Times New Roman" w:asciiTheme="majorHAnsi" w:cstheme="majorBidi" w:eastAsiaTheme="majorEastAsia" w:hAnsiTheme="majorHAnsi"/>
      <w:i/>
      <w:iCs/>
      <w:color w:themeColor="accent1" w:val="4F81BD"/>
      <w:spacing w:val="15"/>
      <w:sz w:val="24"/>
      <w:szCs w:val="24"/>
      <w:lang w:val="en-US"/>
    </w:rPr>
  </w:style>
  <w:style w:type="paragraph" w:styleId="ListParagraph">
    <w:name w:val="List Paragraph"/>
    <w:basedOn w:val="Normal"/>
    <w:uiPriority w:val="34"/>
    <w:qFormat/>
    <w:rsid w:val="00fc693f"/>
    <w:pPr>
      <w:spacing w:before="0" w:after="0"/>
      <w:ind w:start="720"/>
      <w:contextualSpacing/>
    </w:pPr>
    <w:rPr/>
  </w:style>
  <w:style w:type="paragraph" w:styleId="BodyText2">
    <w:name w:val="Body Text 2"/>
    <w:basedOn w:val="Normal"/>
    <w:link w:val="Zkladntext2Char"/>
    <w:uiPriority w:val="99"/>
    <w:unhideWhenUsed/>
    <w:rsid w:val="00a341d1"/>
    <w:pPr>
      <w:spacing w:before="0" w:after="120"/>
    </w:pPr>
    <w:rPr>
      <w:rFonts w:ascii="Cambria" w:hAnsi="Cambria" w:eastAsia="ＭＳ 明朝" w:asciiTheme="minorHAnsi" w:eastAsiaTheme="minorEastAsia" w:hAnsiTheme="minorHAnsi"/>
      <w:sz w:val="22"/>
      <w:szCs w:val="22"/>
      <w:lang w:val="en-US"/>
    </w:rPr>
  </w:style>
  <w:style w:type="paragraph" w:styleId="BodyText3">
    <w:name w:val="Body Text 3"/>
    <w:basedOn w:val="Normal"/>
    <w:link w:val="Zkladntext3Char"/>
    <w:uiPriority w:val="99"/>
    <w:unhideWhenUsed/>
    <w:rsid w:val="00a341d1"/>
    <w:pPr>
      <w:spacing w:before="0" w:after="120"/>
    </w:pPr>
    <w:rPr>
      <w:rFonts w:ascii="Cambria" w:hAnsi="Cambria" w:eastAsia="ＭＳ 明朝" w:asciiTheme="minorHAnsi" w:eastAsiaTheme="minorEastAsia" w:hAnsiTheme="minorHAnsi"/>
      <w:sz w:val="16"/>
      <w:szCs w:val="16"/>
      <w:lang w:val="en-US"/>
    </w:rPr>
  </w:style>
  <w:style w:type="paragraph" w:styleId="List2">
    <w:name w:val="List 2"/>
    <w:basedOn w:val="Normal"/>
    <w:uiPriority w:val="99"/>
    <w:unhideWhenUsed/>
    <w:rsid w:val="00326f90"/>
    <w:pPr>
      <w:spacing w:before="0" w:after="0"/>
      <w:ind w:hanging="360" w:start="720"/>
      <w:contextualSpacing/>
    </w:pPr>
    <w:rPr/>
  </w:style>
  <w:style w:type="paragraph" w:styleId="List3">
    <w:name w:val="List 3"/>
    <w:basedOn w:val="Normal"/>
    <w:uiPriority w:val="99"/>
    <w:unhideWhenUsed/>
    <w:rsid w:val="00326f90"/>
    <w:pPr>
      <w:spacing w:before="0" w:after="0"/>
      <w:ind w:hanging="360" w:start="1080"/>
      <w:contextualSpacing/>
    </w:pPr>
    <w:rPr/>
  </w:style>
  <w:style w:type="paragraph" w:styleId="ListBullet">
    <w:name w:val="List Bullet"/>
    <w:basedOn w:val="Normal"/>
    <w:uiPriority w:val="99"/>
    <w:unhideWhenUsed/>
    <w:rsid w:val="00326f90"/>
    <w:pPr>
      <w:numPr>
        <w:ilvl w:val="0"/>
        <w:numId w:val="29"/>
      </w:numPr>
      <w:spacing w:before="0" w:after="0"/>
      <w:contextualSpacing/>
    </w:pPr>
    <w:rPr/>
  </w:style>
  <w:style w:type="paragraph" w:styleId="ListBullet2">
    <w:name w:val="List Bullet 2"/>
    <w:basedOn w:val="Normal"/>
    <w:uiPriority w:val="99"/>
    <w:unhideWhenUsed/>
    <w:rsid w:val="00326f90"/>
    <w:pPr>
      <w:numPr>
        <w:ilvl w:val="0"/>
        <w:numId w:val="36"/>
      </w:numPr>
      <w:spacing w:before="0" w:after="0"/>
      <w:contextualSpacing/>
    </w:pPr>
    <w:rPr/>
  </w:style>
  <w:style w:type="paragraph" w:styleId="ListBullet3">
    <w:name w:val="List Bullet 3"/>
    <w:basedOn w:val="Normal"/>
    <w:uiPriority w:val="99"/>
    <w:unhideWhenUsed/>
    <w:rsid w:val="00326f90"/>
    <w:pPr>
      <w:numPr>
        <w:ilvl w:val="0"/>
        <w:numId w:val="2"/>
      </w:numPr>
      <w:spacing w:before="0" w:after="0"/>
      <w:contextualSpacing/>
    </w:pPr>
    <w:rPr/>
  </w:style>
  <w:style w:type="paragraph" w:styleId="ListNumber">
    <w:name w:val="List Number"/>
    <w:basedOn w:val="Normal"/>
    <w:uiPriority w:val="99"/>
    <w:unhideWhenUsed/>
    <w:rsid w:val="00326f90"/>
    <w:pPr>
      <w:numPr>
        <w:ilvl w:val="0"/>
        <w:numId w:val="20"/>
      </w:numPr>
      <w:spacing w:before="0" w:after="0"/>
      <w:contextualSpacing/>
    </w:pPr>
    <w:rPr/>
  </w:style>
  <w:style w:type="paragraph" w:styleId="ListNumber2">
    <w:name w:val="List Number 2"/>
    <w:basedOn w:val="Normal"/>
    <w:uiPriority w:val="99"/>
    <w:unhideWhenUsed/>
    <w:rsid w:val="0029639d"/>
    <w:pPr>
      <w:numPr>
        <w:ilvl w:val="0"/>
        <w:numId w:val="19"/>
      </w:numPr>
      <w:spacing w:before="0" w:after="0"/>
      <w:contextualSpacing/>
    </w:pPr>
    <w:rPr/>
  </w:style>
  <w:style w:type="paragraph" w:styleId="ListNumber3">
    <w:name w:val="List Number 3"/>
    <w:basedOn w:val="Normal"/>
    <w:uiPriority w:val="99"/>
    <w:unhideWhenUsed/>
    <w:rsid w:val="0029639d"/>
    <w:pPr>
      <w:numPr>
        <w:ilvl w:val="0"/>
        <w:numId w:val="11"/>
      </w:numPr>
      <w:tabs>
        <w:tab w:val="clear" w:pos="720"/>
        <w:tab w:val="left" w:pos="360" w:leader="none"/>
      </w:tabs>
      <w:spacing w:before="0" w:after="0"/>
      <w:ind w:hanging="0" w:start="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Textmakra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Arial" w:cstheme="minorBidi" w:eastAsiaTheme="minorEastAsia"/>
      <w:color w:val="auto"/>
      <w:kern w:val="0"/>
      <w:sz w:val="20"/>
      <w:szCs w:val="20"/>
      <w:lang w:val="en-US" w:eastAsia="en-US" w:bidi="ar-SA"/>
    </w:rPr>
  </w:style>
  <w:style w:type="paragraph" w:styleId="Quote">
    <w:name w:val="Quote"/>
    <w:basedOn w:val="Normal"/>
    <w:next w:val="Normal"/>
    <w:link w:val="CittChar"/>
    <w:uiPriority w:val="12"/>
    <w:qFormat/>
    <w:rsid w:val="00a341d1"/>
    <w:pPr/>
    <w:rPr>
      <w:rFonts w:ascii="Cambria" w:hAnsi="Cambria" w:eastAsia="ＭＳ 明朝" w:asciiTheme="minorHAnsi" w:eastAsiaTheme="minorEastAsia" w:hAnsiTheme="minorHAnsi"/>
      <w:i/>
      <w:iCs/>
      <w:color w:themeColor="text1" w:val="000000"/>
      <w:sz w:val="22"/>
      <w:szCs w:val="22"/>
      <w:lang w:val="en-US"/>
    </w:rPr>
  </w:style>
  <w:style w:type="paragraph" w:styleId="IntenseQuote">
    <w:name w:val="Intense Quote"/>
    <w:basedOn w:val="Normal"/>
    <w:next w:val="Normal"/>
    <w:link w:val="VrazncittChar"/>
    <w:uiPriority w:val="30"/>
    <w:qFormat/>
    <w:rsid w:val="00a341d1"/>
    <w:pPr>
      <w:pBdr>
        <w:bottom w:val="single" w:sz="4" w:space="4" w:color="4F81BD" w:themeColor="accent1"/>
      </w:pBdr>
      <w:spacing w:before="200" w:after="280"/>
      <w:ind w:start="936" w:end="936"/>
    </w:pPr>
    <w:rPr>
      <w:rFonts w:ascii="Cambria" w:hAnsi="Cambria" w:eastAsia="ＭＳ 明朝" w:asciiTheme="minorHAnsi" w:eastAsiaTheme="minorEastAsia" w:hAnsiTheme="minorHAnsi"/>
      <w:b/>
      <w:bCs/>
      <w:i/>
      <w:iCs/>
      <w:color w:themeColor="accent1" w:val="4F81BD"/>
      <w:sz w:val="22"/>
      <w:szCs w:val="22"/>
      <w:lang w:val="en-US"/>
    </w:rPr>
  </w:style>
  <w:style w:type="paragraph" w:styleId="IndexHeading">
    <w:name w:val="index heading"/>
    <w:basedOn w:val="Nadpis"/>
    <w:pPr/>
    <w:rPr/>
  </w:style>
  <w:style w:type="paragraph" w:styleId="TOCHeading">
    <w:name w:val="TOC Heading"/>
    <w:basedOn w:val="Heading1"/>
    <w:next w:val="Normal"/>
    <w:uiPriority w:val="39"/>
    <w:unhideWhenUsed/>
    <w:qFormat/>
    <w:rsid w:val="00fc693f"/>
    <w:pPr>
      <w:outlineLvl w:val="9"/>
    </w:pPr>
    <w:rPr/>
  </w:style>
  <w:style w:type="paragraph" w:styleId="CommentText">
    <w:name w:val="annotation text"/>
    <w:basedOn w:val="Normal"/>
    <w:link w:val="TextkomenteChar"/>
    <w:uiPriority w:val="99"/>
    <w:unhideWhenUsed/>
    <w:rsid w:val="6f3926aa"/>
    <w:pPr/>
    <w:rPr/>
  </w:style>
  <w:style w:type="paragraph" w:styleId="annotationsubject">
    <w:name w:val="annotation subject"/>
    <w:basedOn w:val="CommentText"/>
    <w:next w:val="CommentText"/>
    <w:link w:val="PedmtkomenteChar"/>
    <w:uiPriority w:val="99"/>
    <w:semiHidden/>
    <w:unhideWhenUsed/>
    <w:rsid w:val="005f4b6f"/>
    <w:pPr/>
    <w:rPr>
      <w:b/>
      <w:bCs/>
    </w:rPr>
  </w:style>
  <w:style w:type="paragraph" w:styleId="Revision">
    <w:name w:val="Revision"/>
    <w:uiPriority w:val="99"/>
    <w:semiHidden/>
    <w:rsid w:val="00020b5c"/>
    <w:pPr>
      <w:widowControl/>
      <w:bidi w:val="0"/>
      <w:spacing w:lineRule="auto" w:line="240" w:before="0" w:after="0"/>
      <w:jc w:val="start"/>
    </w:pPr>
    <w:rPr>
      <w:rFonts w:ascii="Arial" w:hAnsi="Arial" w:eastAsia="Arial" w:cs="Arial" w:cstheme="minorBidi"/>
      <w:color w:val="auto"/>
      <w:kern w:val="0"/>
      <w:sz w:val="20"/>
      <w:szCs w:val="22"/>
      <w:lang w:val="en-US" w:eastAsia="en-US" w:bidi="ar-SA"/>
    </w:rPr>
  </w:style>
  <w:style w:type="paragraph" w:styleId="FootnoteText">
    <w:name w:val="footnote text"/>
    <w:basedOn w:val="Normal"/>
    <w:link w:val="TextpoznpodarouChar"/>
    <w:uiPriority w:val="99"/>
    <w:unhideWhenUsed/>
    <w:rsid w:val="009147f6"/>
    <w:pPr>
      <w:spacing w:lineRule="auto" w:line="240"/>
      <w:ind w:hanging="357" w:start="425"/>
      <w:jc w:val="both"/>
    </w:pPr>
    <w:rPr>
      <w:rFonts w:ascii="Cambria" w:hAnsi="Cambria" w:eastAsia="Cambria" w:asciiTheme="minorHAnsi" w:eastAsiaTheme="minorHAnsi" w:hAnsiTheme="minorHAnsi"/>
    </w:rPr>
  </w:style>
  <w:style w:type="paragraph" w:styleId="Titulky" w:customStyle="1">
    <w:name w:val="Titulky"/>
    <w:basedOn w:val="Normal"/>
    <w:link w:val="TitulkyChar"/>
    <w:qFormat/>
    <w:rsid w:val="009147f6"/>
    <w:pPr>
      <w:spacing w:lineRule="auto" w:line="259" w:before="0" w:after="160"/>
    </w:pPr>
    <w:rPr>
      <w:rFonts w:eastAsia="Cambria" w:eastAsiaTheme="minorHAnsi"/>
      <w:color w:themeColor="accent1" w:val="4F81BD"/>
      <w:sz w:val="18"/>
      <w:szCs w:val="18"/>
      <w:lang w:eastAsia="cs-CZ"/>
    </w:rPr>
  </w:style>
  <w:style w:type="paragraph" w:styleId="BalloonText">
    <w:name w:val="Balloon Text"/>
    <w:basedOn w:val="Normal"/>
    <w:link w:val="TextbublinyChar"/>
    <w:uiPriority w:val="99"/>
    <w:semiHidden/>
    <w:unhideWhenUsed/>
    <w:rsid w:val="009147f6"/>
    <w:pPr>
      <w:spacing w:lineRule="auto" w:line="240"/>
      <w:ind w:hanging="357" w:start="425"/>
      <w:jc w:val="both"/>
    </w:pPr>
    <w:rPr>
      <w:rFonts w:ascii="Segoe UI" w:hAnsi="Segoe UI" w:eastAsia="Cambria" w:cs="Segoe UI" w:eastAsiaTheme="minorHAnsi"/>
      <w:sz w:val="18"/>
      <w:szCs w:val="18"/>
    </w:rPr>
  </w:style>
  <w:style w:type="paragraph" w:styleId="TableofFigures">
    <w:name w:val="table of figures"/>
    <w:basedOn w:val="Normal"/>
    <w:next w:val="Normal"/>
    <w:uiPriority w:val="99"/>
    <w:unhideWhenUsed/>
    <w:rsid w:val="009147f6"/>
    <w:pPr>
      <w:spacing w:lineRule="auto" w:line="240"/>
      <w:ind w:hanging="357"/>
      <w:jc w:val="both"/>
    </w:pPr>
    <w:rPr>
      <w:rFonts w:ascii="Cambria" w:hAnsi="Cambria" w:eastAsia="Cambria" w:asciiTheme="minorHAnsi" w:eastAsiaTheme="minorHAnsi" w:hAnsiTheme="minorHAnsi"/>
      <w:sz w:val="22"/>
      <w:szCs w:val="22"/>
    </w:rPr>
  </w:style>
  <w:style w:type="paragraph" w:styleId="TOC1">
    <w:name w:val="toc 1"/>
    <w:basedOn w:val="Normal"/>
    <w:next w:val="Normal"/>
    <w:autoRedefine/>
    <w:uiPriority w:val="39"/>
    <w:unhideWhenUsed/>
    <w:rsid w:val="009147f6"/>
    <w:pPr>
      <w:spacing w:lineRule="auto" w:line="240" w:before="0" w:after="100"/>
      <w:ind w:hanging="357"/>
      <w:jc w:val="both"/>
    </w:pPr>
    <w:rPr>
      <w:rFonts w:ascii="Cambria" w:hAnsi="Cambria" w:eastAsia="Cambria" w:asciiTheme="minorHAnsi" w:eastAsiaTheme="minorHAnsi" w:hAnsiTheme="minorHAnsi"/>
      <w:sz w:val="22"/>
      <w:szCs w:val="22"/>
    </w:rPr>
  </w:style>
  <w:style w:type="paragraph" w:styleId="TOC2">
    <w:name w:val="toc 2"/>
    <w:basedOn w:val="Normal"/>
    <w:next w:val="Normal"/>
    <w:autoRedefine/>
    <w:uiPriority w:val="39"/>
    <w:unhideWhenUsed/>
    <w:rsid w:val="009147f6"/>
    <w:pPr>
      <w:spacing w:lineRule="auto" w:line="240" w:before="0" w:after="100"/>
      <w:ind w:hanging="357" w:start="220"/>
      <w:jc w:val="both"/>
    </w:pPr>
    <w:rPr>
      <w:rFonts w:ascii="Cambria" w:hAnsi="Cambria" w:eastAsia="Cambria" w:asciiTheme="minorHAnsi" w:eastAsiaTheme="minorHAnsi" w:hAnsiTheme="minorHAnsi"/>
      <w:sz w:val="22"/>
      <w:szCs w:val="22"/>
    </w:rPr>
  </w:style>
  <w:style w:type="paragraph" w:styleId="TOC3">
    <w:name w:val="toc 3"/>
    <w:basedOn w:val="Normal"/>
    <w:next w:val="Normal"/>
    <w:autoRedefine/>
    <w:uiPriority w:val="39"/>
    <w:unhideWhenUsed/>
    <w:rsid w:val="009147f6"/>
    <w:pPr>
      <w:spacing w:lineRule="auto" w:line="240" w:before="0" w:after="100"/>
      <w:ind w:hanging="357" w:start="440"/>
      <w:jc w:val="both"/>
    </w:pPr>
    <w:rPr>
      <w:rFonts w:ascii="Cambria" w:hAnsi="Cambria" w:eastAsia="Cambria" w:asciiTheme="minorHAnsi" w:eastAsiaTheme="minorHAnsi" w:hAnsiTheme="minorHAnsi"/>
      <w:sz w:val="22"/>
      <w:szCs w:val="22"/>
    </w:rPr>
  </w:style>
  <w:style w:type="paragraph" w:styleId="NormalWeb">
    <w:name w:val="Normal (Web)"/>
    <w:basedOn w:val="Normal"/>
    <w:uiPriority w:val="99"/>
    <w:semiHidden/>
    <w:unhideWhenUsed/>
    <w:rsid w:val="009147f6"/>
    <w:pPr>
      <w:spacing w:lineRule="auto" w:line="240" w:before="0" w:after="180"/>
      <w:ind w:hanging="357" w:start="425"/>
      <w:jc w:val="both"/>
    </w:pPr>
    <w:rPr>
      <w:rFonts w:ascii="Times New Roman" w:hAnsi="Times New Roman" w:eastAsia="Cambria" w:cs="Times New Roman" w:eastAsiaTheme="minorHAnsi"/>
      <w:sz w:val="24"/>
      <w:szCs w:val="24"/>
    </w:rPr>
  </w:style>
  <w:style w:type="paragraph" w:styleId="paragraph" w:customStyle="1">
    <w:name w:val="paragraph"/>
    <w:basedOn w:val="Normal"/>
    <w:rsid w:val="00e80f89"/>
    <w:pPr>
      <w:spacing w:lineRule="auto" w:line="240" w:beforeAutospacing="1" w:afterAutospacing="1"/>
    </w:pPr>
    <w:rPr>
      <w:rFonts w:ascii="Times New Roman" w:hAnsi="Times New Roman" w:eastAsia="Times New Roman" w:cs="Times New Roman"/>
      <w:sz w:val="24"/>
      <w:szCs w:val="24"/>
      <w:lang w:eastAsia="cs-CZ"/>
    </w:rPr>
  </w:style>
  <w:style w:type="paragraph" w:styleId="vodndaje" w:customStyle="1">
    <w:name w:val="Úvodní údaje"/>
    <w:basedOn w:val="Normal"/>
    <w:uiPriority w:val="29"/>
    <w:qFormat/>
    <w:rsid w:val="00d666aa"/>
    <w:pPr/>
    <w:rPr>
      <w:color w:val="545860"/>
      <w:kern w:val="2"/>
      <w14:ligatures w14:val="standardContextual"/>
    </w:rPr>
  </w:style>
  <w:style w:type="paragraph" w:styleId="Ministr-funkce" w:customStyle="1">
    <w:name w:val="Ministr - funkce"/>
    <w:basedOn w:val="Normal"/>
    <w:next w:val="Normal"/>
    <w:uiPriority w:val="20"/>
    <w:qFormat/>
    <w:rsid w:val="00d666aa"/>
    <w:pPr>
      <w:spacing w:before="0" w:after="600"/>
      <w:contextualSpacing/>
    </w:pPr>
    <w:rPr>
      <w:color w:val="545860"/>
      <w:kern w:val="2"/>
      <w:sz w:val="24"/>
      <w:szCs w:val="24"/>
      <w14:ligatures w14:val="standardContextual"/>
    </w:rPr>
  </w:style>
  <w:style w:type="paragraph" w:styleId="Ministr-jmno" w:customStyle="1">
    <w:name w:val="Ministr - jméno"/>
    <w:basedOn w:val="Normal"/>
    <w:next w:val="Ministr-funkce"/>
    <w:uiPriority w:val="19"/>
    <w:qFormat/>
    <w:rsid w:val="00d666aa"/>
    <w:pPr>
      <w:spacing w:before="600" w:after="0"/>
      <w:contextualSpacing/>
    </w:pPr>
    <w:rPr>
      <w:b/>
      <w:bCs/>
      <w:color w:val="545860"/>
      <w:kern w:val="2"/>
      <w:sz w:val="28"/>
      <w:szCs w:val="28"/>
      <w14:ligatures w14:val="standardContextual"/>
    </w:rPr>
  </w:style>
  <w:style w:type="paragraph" w:styleId="Nadpis1slovan" w:customStyle="1">
    <w:name w:val="Nadpis 1 číslovaný"/>
    <w:basedOn w:val="Seznamslovan5"/>
    <w:next w:val="Normal"/>
    <w:uiPriority w:val="3"/>
    <w:qFormat/>
    <w:rsid w:val="00d666aa"/>
    <w:pPr>
      <w:keepNext w:val="true"/>
      <w:keepLines/>
      <w:numPr>
        <w:ilvl w:val="0"/>
        <w:numId w:val="48"/>
      </w:numPr>
      <w:tabs>
        <w:tab w:val="clear" w:pos="3600"/>
        <w:tab w:val="left" w:pos="720" w:leader="none"/>
      </w:tabs>
      <w:suppressAutoHyphens w:val="true"/>
      <w:spacing w:before="640" w:after="200"/>
      <w:ind w:hanging="360" w:start="720"/>
      <w:jc w:val="start"/>
    </w:pPr>
    <w:rPr>
      <w:b/>
      <w:color w:val="545860"/>
      <w:sz w:val="40"/>
    </w:rPr>
  </w:style>
  <w:style w:type="paragraph" w:styleId="Nadpis2slovan" w:customStyle="1">
    <w:name w:val="Nadpis 2 číslovaný"/>
    <w:basedOn w:val="Normal"/>
    <w:next w:val="Normal"/>
    <w:uiPriority w:val="3"/>
    <w:qFormat/>
    <w:rsid w:val="00d666aa"/>
    <w:pPr>
      <w:numPr>
        <w:ilvl w:val="1"/>
        <w:numId w:val="48"/>
      </w:numPr>
      <w:tabs>
        <w:tab w:val="clear" w:pos="720"/>
        <w:tab w:val="left" w:pos="1440" w:leader="none"/>
      </w:tabs>
      <w:suppressAutoHyphens w:val="true"/>
      <w:spacing w:before="320" w:after="160"/>
      <w:ind w:hanging="360" w:start="1440"/>
    </w:pPr>
    <w:rPr>
      <w:b/>
      <w:color w:val="545860"/>
      <w:kern w:val="2"/>
      <w:sz w:val="32"/>
      <w14:ligatures w14:val="standardContextual"/>
    </w:rPr>
  </w:style>
  <w:style w:type="paragraph" w:styleId="Nadpis3slovan" w:customStyle="1">
    <w:name w:val="Nadpis 3 číslovaný"/>
    <w:basedOn w:val="Normal"/>
    <w:next w:val="Normal"/>
    <w:uiPriority w:val="3"/>
    <w:qFormat/>
    <w:rsid w:val="00d666aa"/>
    <w:pPr>
      <w:keepNext w:val="true"/>
      <w:keepLines/>
      <w:numPr>
        <w:ilvl w:val="2"/>
        <w:numId w:val="48"/>
      </w:numPr>
      <w:tabs>
        <w:tab w:val="clear" w:pos="720"/>
        <w:tab w:val="left" w:pos="2160" w:leader="none"/>
      </w:tabs>
      <w:suppressAutoHyphens w:val="true"/>
      <w:spacing w:before="320" w:after="160"/>
      <w:ind w:hanging="360" w:start="2160"/>
    </w:pPr>
    <w:rPr>
      <w:b/>
      <w:color w:val="545860"/>
      <w:kern w:val="2"/>
      <w:sz w:val="28"/>
      <w14:ligatures w14:val="standardContextual"/>
    </w:rPr>
  </w:style>
  <w:style w:type="paragraph" w:styleId="Nadpis4slovan" w:customStyle="1">
    <w:name w:val="Nadpis 4 číslovaný"/>
    <w:basedOn w:val="Normal"/>
    <w:next w:val="Normal"/>
    <w:uiPriority w:val="3"/>
    <w:qFormat/>
    <w:rsid w:val="00d666aa"/>
    <w:pPr>
      <w:keepNext w:val="true"/>
      <w:keepLines/>
      <w:numPr>
        <w:ilvl w:val="3"/>
        <w:numId w:val="48"/>
      </w:numPr>
      <w:tabs>
        <w:tab w:val="clear" w:pos="720"/>
        <w:tab w:val="left" w:pos="2880" w:leader="none"/>
      </w:tabs>
      <w:suppressAutoHyphens w:val="true"/>
      <w:spacing w:before="320" w:after="160"/>
      <w:ind w:hanging="360" w:start="2880"/>
    </w:pPr>
    <w:rPr>
      <w:b/>
      <w:color w:val="545860"/>
      <w:kern w:val="2"/>
      <w:sz w:val="24"/>
      <w14:ligatures w14:val="standardContextual"/>
    </w:rPr>
  </w:style>
  <w:style w:type="paragraph" w:styleId="Nadpis5slovan" w:customStyle="1">
    <w:name w:val="Nadpis 5 číslovaný"/>
    <w:basedOn w:val="Normal"/>
    <w:next w:val="Normal"/>
    <w:uiPriority w:val="3"/>
    <w:qFormat/>
    <w:rsid w:val="00d666aa"/>
    <w:pPr>
      <w:keepNext w:val="true"/>
      <w:keepLines/>
      <w:numPr>
        <w:ilvl w:val="4"/>
        <w:numId w:val="48"/>
      </w:numPr>
      <w:tabs>
        <w:tab w:val="clear" w:pos="720"/>
        <w:tab w:val="left" w:pos="3600" w:leader="none"/>
      </w:tabs>
      <w:suppressAutoHyphens w:val="true"/>
      <w:spacing w:before="320" w:after="160"/>
      <w:ind w:hanging="360" w:start="3600"/>
    </w:pPr>
    <w:rPr>
      <w:b/>
      <w:color w:val="545860"/>
      <w:kern w:val="2"/>
      <w:sz w:val="22"/>
      <w14:ligatures w14:val="standardContextual"/>
    </w:rPr>
  </w:style>
  <w:style w:type="paragraph" w:styleId="Nadpis6slovan" w:customStyle="1">
    <w:name w:val="Nadpis 6 číslovaný"/>
    <w:basedOn w:val="Normal"/>
    <w:next w:val="Normal"/>
    <w:uiPriority w:val="3"/>
    <w:qFormat/>
    <w:rsid w:val="00d666aa"/>
    <w:pPr>
      <w:keepNext w:val="true"/>
      <w:keepLines/>
      <w:numPr>
        <w:ilvl w:val="5"/>
        <w:numId w:val="48"/>
      </w:numPr>
      <w:tabs>
        <w:tab w:val="clear" w:pos="720"/>
        <w:tab w:val="left" w:pos="4320" w:leader="none"/>
      </w:tabs>
      <w:suppressAutoHyphens w:val="true"/>
      <w:spacing w:before="320" w:after="160"/>
      <w:ind w:hanging="360" w:start="4320"/>
    </w:pPr>
    <w:rPr>
      <w:b/>
      <w:color w:val="545860"/>
      <w:kern w:val="2"/>
      <w14:ligatures w14:val="standardContextual"/>
    </w:rPr>
  </w:style>
  <w:style w:type="paragraph" w:styleId="Obsah41" w:customStyle="1">
    <w:name w:val="Obsah 41"/>
    <w:basedOn w:val="Normal"/>
    <w:next w:val="Normal"/>
    <w:uiPriority w:val="39"/>
    <w:unhideWhenUsed/>
    <w:rsid w:val="00d666aa"/>
    <w:pPr>
      <w:tabs>
        <w:tab w:val="clear" w:pos="720"/>
        <w:tab w:val="right" w:pos="9061" w:leader="dot"/>
      </w:tabs>
      <w:spacing w:before="0" w:after="100"/>
      <w:ind w:start="851"/>
      <w:jc w:val="both"/>
    </w:pPr>
    <w:rPr>
      <w:kern w:val="2"/>
      <w14:ligatures w14:val="standardContextual"/>
    </w:rPr>
  </w:style>
  <w:style w:type="paragraph" w:styleId="Seznamslovan1" w:customStyle="1">
    <w:name w:val="Seznam číslovaný 1"/>
    <w:basedOn w:val="Normal"/>
    <w:uiPriority w:val="1"/>
    <w:qFormat/>
    <w:rsid w:val="00d666aa"/>
    <w:pPr>
      <w:numPr>
        <w:ilvl w:val="0"/>
        <w:numId w:val="49"/>
      </w:numPr>
      <w:tabs>
        <w:tab w:val="left" w:pos="720" w:leader="none"/>
      </w:tabs>
      <w:spacing w:before="0" w:after="160"/>
      <w:ind w:hanging="567" w:start="567"/>
      <w:jc w:val="both"/>
    </w:pPr>
    <w:rPr>
      <w:kern w:val="2"/>
      <w14:ligatures w14:val="standardContextual"/>
    </w:rPr>
  </w:style>
  <w:style w:type="paragraph" w:styleId="Seznamslovan2" w:customStyle="1">
    <w:name w:val="Seznam číslovaný 2"/>
    <w:basedOn w:val="Normal"/>
    <w:uiPriority w:val="1"/>
    <w:qFormat/>
    <w:rsid w:val="00d666aa"/>
    <w:pPr>
      <w:numPr>
        <w:ilvl w:val="1"/>
        <w:numId w:val="49"/>
      </w:numPr>
      <w:tabs>
        <w:tab w:val="clear" w:pos="720"/>
        <w:tab w:val="left" w:pos="1440" w:leader="none"/>
      </w:tabs>
      <w:spacing w:before="0" w:after="160"/>
      <w:ind w:hanging="360" w:start="1440"/>
      <w:jc w:val="both"/>
    </w:pPr>
    <w:rPr>
      <w:kern w:val="2"/>
      <w14:ligatures w14:val="standardContextual"/>
    </w:rPr>
  </w:style>
  <w:style w:type="paragraph" w:styleId="Seznamslovan3" w:customStyle="1">
    <w:name w:val="Seznam číslovaný 3"/>
    <w:basedOn w:val="Normal"/>
    <w:uiPriority w:val="1"/>
    <w:qFormat/>
    <w:rsid w:val="00d666aa"/>
    <w:pPr>
      <w:numPr>
        <w:ilvl w:val="2"/>
        <w:numId w:val="49"/>
      </w:numPr>
      <w:tabs>
        <w:tab w:val="clear" w:pos="720"/>
        <w:tab w:val="left" w:pos="2160" w:leader="none"/>
      </w:tabs>
      <w:spacing w:before="0" w:after="160"/>
      <w:ind w:hanging="360" w:start="2160"/>
      <w:jc w:val="both"/>
    </w:pPr>
    <w:rPr>
      <w:kern w:val="2"/>
      <w14:ligatures w14:val="standardContextual"/>
    </w:rPr>
  </w:style>
  <w:style w:type="paragraph" w:styleId="Seznamslovan4" w:customStyle="1">
    <w:name w:val="Seznam číslovaný 4"/>
    <w:basedOn w:val="Normal"/>
    <w:uiPriority w:val="1"/>
    <w:qFormat/>
    <w:rsid w:val="00d666aa"/>
    <w:pPr>
      <w:numPr>
        <w:ilvl w:val="3"/>
        <w:numId w:val="49"/>
      </w:numPr>
      <w:tabs>
        <w:tab w:val="clear" w:pos="720"/>
        <w:tab w:val="left" w:pos="2880" w:leader="none"/>
      </w:tabs>
      <w:spacing w:before="0" w:after="160"/>
      <w:ind w:hanging="360" w:start="2880"/>
      <w:jc w:val="both"/>
    </w:pPr>
    <w:rPr>
      <w:kern w:val="2"/>
      <w14:ligatures w14:val="standardContextual"/>
    </w:rPr>
  </w:style>
  <w:style w:type="paragraph" w:styleId="Seznamslovan5" w:customStyle="1">
    <w:name w:val="Seznam číslovaný 5"/>
    <w:basedOn w:val="Normal"/>
    <w:uiPriority w:val="1"/>
    <w:qFormat/>
    <w:rsid w:val="00d666aa"/>
    <w:pPr>
      <w:numPr>
        <w:ilvl w:val="4"/>
        <w:numId w:val="49"/>
      </w:numPr>
      <w:tabs>
        <w:tab w:val="clear" w:pos="720"/>
        <w:tab w:val="left" w:pos="3600" w:leader="none"/>
      </w:tabs>
      <w:spacing w:before="0" w:after="160"/>
      <w:ind w:hanging="360" w:start="3600"/>
      <w:jc w:val="both"/>
    </w:pPr>
    <w:rPr>
      <w:kern w:val="2"/>
      <w14:ligatures w14:val="standardContextual"/>
    </w:rPr>
  </w:style>
  <w:style w:type="paragraph" w:styleId="Seznamslovan6" w:customStyle="1">
    <w:name w:val="Seznam číslovaný 6"/>
    <w:basedOn w:val="Normal"/>
    <w:uiPriority w:val="1"/>
    <w:qFormat/>
    <w:rsid w:val="00d666aa"/>
    <w:pPr>
      <w:numPr>
        <w:ilvl w:val="5"/>
        <w:numId w:val="49"/>
      </w:numPr>
      <w:tabs>
        <w:tab w:val="clear" w:pos="720"/>
        <w:tab w:val="left" w:pos="4320" w:leader="none"/>
      </w:tabs>
      <w:spacing w:before="0" w:after="160"/>
      <w:ind w:hanging="360" w:start="4320"/>
      <w:jc w:val="both"/>
    </w:pPr>
    <w:rPr>
      <w:kern w:val="2"/>
      <w14:ligatures w14:val="standardContextual"/>
    </w:rPr>
  </w:style>
  <w:style w:type="paragraph" w:styleId="Perex" w:customStyle="1">
    <w:name w:val="Perex"/>
    <w:basedOn w:val="Normal"/>
    <w:next w:val="Normal"/>
    <w:uiPriority w:val="21"/>
    <w:qFormat/>
    <w:rsid w:val="00d666aa"/>
    <w:pPr>
      <w:spacing w:before="0" w:after="360"/>
      <w:jc w:val="both"/>
    </w:pPr>
    <w:rPr>
      <w:b/>
      <w:color w:val="545860"/>
      <w:kern w:val="2"/>
      <w14:ligatures w14:val="standardContextual"/>
    </w:rPr>
  </w:style>
  <w:style w:type="paragraph" w:styleId="Odrka1" w:customStyle="1">
    <w:name w:val="Odrážka 1"/>
    <w:basedOn w:val="Normal"/>
    <w:uiPriority w:val="2"/>
    <w:qFormat/>
    <w:rsid w:val="00d666aa"/>
    <w:pPr>
      <w:numPr>
        <w:ilvl w:val="0"/>
        <w:numId w:val="47"/>
      </w:numPr>
      <w:tabs>
        <w:tab w:val="left" w:pos="720" w:leader="none"/>
      </w:tabs>
      <w:spacing w:before="0" w:after="160"/>
      <w:ind w:hanging="360" w:start="720"/>
      <w:jc w:val="both"/>
    </w:pPr>
    <w:rPr>
      <w:kern w:val="2"/>
      <w14:ligatures w14:val="standardContextual"/>
    </w:rPr>
  </w:style>
  <w:style w:type="paragraph" w:styleId="Odrka2" w:customStyle="1">
    <w:name w:val="Odrážka 2"/>
    <w:basedOn w:val="Normal"/>
    <w:uiPriority w:val="2"/>
    <w:qFormat/>
    <w:rsid w:val="00d666aa"/>
    <w:pPr>
      <w:numPr>
        <w:ilvl w:val="1"/>
        <w:numId w:val="47"/>
      </w:numPr>
      <w:tabs>
        <w:tab w:val="clear" w:pos="720"/>
      </w:tabs>
      <w:spacing w:before="0" w:after="160"/>
      <w:ind w:hanging="360" w:start="1440"/>
      <w:jc w:val="both"/>
    </w:pPr>
    <w:rPr>
      <w:kern w:val="2"/>
      <w14:ligatures w14:val="standardContextual"/>
    </w:rPr>
  </w:style>
  <w:style w:type="paragraph" w:styleId="Odrka3" w:customStyle="1">
    <w:name w:val="Odrážka 3"/>
    <w:basedOn w:val="Normal"/>
    <w:uiPriority w:val="2"/>
    <w:qFormat/>
    <w:rsid w:val="00d666aa"/>
    <w:pPr>
      <w:numPr>
        <w:ilvl w:val="2"/>
        <w:numId w:val="47"/>
      </w:numPr>
      <w:tabs>
        <w:tab w:val="clear" w:pos="720"/>
        <w:tab w:val="left" w:pos="2160" w:leader="none"/>
      </w:tabs>
      <w:spacing w:before="0" w:after="160"/>
      <w:ind w:hanging="227" w:start="1645"/>
      <w:jc w:val="both"/>
    </w:pPr>
    <w:rPr>
      <w:kern w:val="2"/>
      <w14:ligatures w14:val="standardContextual"/>
    </w:rPr>
  </w:style>
  <w:style w:type="paragraph" w:styleId="Odrka4" w:customStyle="1">
    <w:name w:val="Odrážka 4"/>
    <w:basedOn w:val="Normal"/>
    <w:uiPriority w:val="2"/>
    <w:qFormat/>
    <w:rsid w:val="00d666aa"/>
    <w:pPr>
      <w:numPr>
        <w:ilvl w:val="3"/>
        <w:numId w:val="47"/>
      </w:numPr>
      <w:tabs>
        <w:tab w:val="clear" w:pos="720"/>
        <w:tab w:val="left" w:pos="2880" w:leader="none"/>
      </w:tabs>
      <w:spacing w:before="0" w:after="160"/>
      <w:ind w:hanging="198" w:start="2324"/>
      <w:jc w:val="both"/>
    </w:pPr>
    <w:rPr>
      <w:kern w:val="2"/>
      <w14:ligatures w14:val="standardContextual"/>
    </w:rPr>
  </w:style>
  <w:style w:type="paragraph" w:styleId="Odrka5" w:customStyle="1">
    <w:name w:val="Odrážka 5"/>
    <w:basedOn w:val="Normal"/>
    <w:uiPriority w:val="2"/>
    <w:qFormat/>
    <w:rsid w:val="00d666aa"/>
    <w:pPr>
      <w:numPr>
        <w:ilvl w:val="4"/>
        <w:numId w:val="47"/>
      </w:numPr>
      <w:tabs>
        <w:tab w:val="clear" w:pos="720"/>
        <w:tab w:val="left" w:pos="3600" w:leader="none"/>
      </w:tabs>
      <w:spacing w:before="0" w:after="160"/>
      <w:ind w:hanging="360" w:start="3600"/>
      <w:jc w:val="both"/>
    </w:pPr>
    <w:rPr>
      <w:kern w:val="2"/>
      <w14:ligatures w14:val="standardContextual"/>
    </w:rPr>
  </w:style>
  <w:style w:type="paragraph" w:styleId="Odrka6" w:customStyle="1">
    <w:name w:val="Odrážka 6"/>
    <w:basedOn w:val="Normal"/>
    <w:uiPriority w:val="2"/>
    <w:qFormat/>
    <w:rsid w:val="00d666aa"/>
    <w:pPr>
      <w:numPr>
        <w:ilvl w:val="5"/>
        <w:numId w:val="47"/>
      </w:numPr>
      <w:tabs>
        <w:tab w:val="clear" w:pos="720"/>
        <w:tab w:val="left" w:pos="4320" w:leader="none"/>
      </w:tabs>
      <w:spacing w:before="0" w:after="160"/>
      <w:ind w:hanging="360" w:start="4320"/>
      <w:jc w:val="both"/>
    </w:pPr>
    <w:rPr>
      <w:kern w:val="2"/>
      <w14:ligatures w14:val="standardContextual"/>
    </w:rPr>
  </w:style>
  <w:style w:type="paragraph" w:styleId="Popisekfotografie" w:customStyle="1">
    <w:name w:val="Popisek fotografie"/>
    <w:basedOn w:val="Normal"/>
    <w:next w:val="Normal"/>
    <w:uiPriority w:val="25"/>
    <w:qFormat/>
    <w:rsid w:val="00d666aa"/>
    <w:pPr>
      <w:spacing w:before="160" w:after="240"/>
      <w:jc w:val="both"/>
    </w:pPr>
    <w:rPr>
      <w:kern w:val="2"/>
      <w:sz w:val="16"/>
      <w14:ligatures w14:val="standardContextual"/>
    </w:rPr>
  </w:style>
  <w:style w:type="paragraph" w:styleId="Obsah51" w:customStyle="1">
    <w:name w:val="Obsah 51"/>
    <w:basedOn w:val="Normal"/>
    <w:next w:val="Normal"/>
    <w:uiPriority w:val="39"/>
    <w:unhideWhenUsed/>
    <w:rsid w:val="00d666aa"/>
    <w:pPr>
      <w:tabs>
        <w:tab w:val="clear" w:pos="720"/>
        <w:tab w:val="right" w:pos="9061" w:leader="dot"/>
      </w:tabs>
      <w:spacing w:before="240" w:after="120"/>
      <w:ind w:hanging="284" w:start="284"/>
      <w:jc w:val="both"/>
    </w:pPr>
    <w:rPr>
      <w:b/>
      <w:kern w:val="2"/>
      <w14:ligatures w14:val="standardContextual"/>
    </w:rPr>
  </w:style>
  <w:style w:type="paragraph" w:styleId="Obsah61" w:customStyle="1">
    <w:name w:val="Obsah 61"/>
    <w:basedOn w:val="Normal"/>
    <w:next w:val="Normal"/>
    <w:uiPriority w:val="39"/>
    <w:unhideWhenUsed/>
    <w:rsid w:val="00d666aa"/>
    <w:pPr>
      <w:tabs>
        <w:tab w:val="clear" w:pos="720"/>
        <w:tab w:val="right" w:pos="9061" w:leader="dot"/>
      </w:tabs>
      <w:spacing w:before="0" w:after="100"/>
      <w:ind w:hanging="454" w:start="738"/>
      <w:jc w:val="both"/>
    </w:pPr>
    <w:rPr>
      <w:kern w:val="2"/>
      <w14:ligatures w14:val="standardContextual"/>
    </w:rPr>
  </w:style>
  <w:style w:type="paragraph" w:styleId="Obsah71" w:customStyle="1">
    <w:name w:val="Obsah 71"/>
    <w:basedOn w:val="Normal"/>
    <w:next w:val="Normal"/>
    <w:uiPriority w:val="39"/>
    <w:unhideWhenUsed/>
    <w:rsid w:val="00d666aa"/>
    <w:pPr>
      <w:tabs>
        <w:tab w:val="clear" w:pos="720"/>
        <w:tab w:val="right" w:pos="9061" w:leader="dot"/>
      </w:tabs>
      <w:spacing w:before="0" w:after="100"/>
      <w:ind w:hanging="624" w:start="908"/>
      <w:jc w:val="both"/>
    </w:pPr>
    <w:rPr>
      <w:kern w:val="2"/>
      <w14:ligatures w14:val="standardContextual"/>
    </w:rPr>
  </w:style>
  <w:style w:type="paragraph" w:styleId="Obsah81" w:customStyle="1">
    <w:name w:val="Obsah 81"/>
    <w:basedOn w:val="Normal"/>
    <w:next w:val="Normal"/>
    <w:uiPriority w:val="39"/>
    <w:unhideWhenUsed/>
    <w:rsid w:val="00d666aa"/>
    <w:pPr>
      <w:tabs>
        <w:tab w:val="clear" w:pos="720"/>
        <w:tab w:val="right" w:pos="9061" w:leader="dot"/>
      </w:tabs>
      <w:spacing w:before="0" w:after="100"/>
      <w:ind w:hanging="822" w:start="1106"/>
      <w:jc w:val="both"/>
    </w:pPr>
    <w:rPr>
      <w:kern w:val="2"/>
      <w14:ligatures w14:val="standardContextual"/>
    </w:rPr>
  </w:style>
  <w:style w:type="paragraph" w:styleId="Textvysvtlivek1" w:customStyle="1">
    <w:name w:val="Text vysvětlivek1"/>
    <w:basedOn w:val="Normal"/>
    <w:next w:val="EndnoteText"/>
    <w:link w:val="TextvysvtlivekChar"/>
    <w:uiPriority w:val="99"/>
    <w:semiHidden/>
    <w:unhideWhenUsed/>
    <w:rsid w:val="00d666aa"/>
    <w:pPr>
      <w:spacing w:lineRule="auto" w:line="240" w:before="0" w:after="40"/>
      <w:jc w:val="both"/>
    </w:pPr>
    <w:rPr>
      <w:rFonts w:ascii="Cambria" w:hAnsi="Cambria" w:eastAsia="ＭＳ 明朝" w:asciiTheme="minorHAnsi" w:eastAsiaTheme="minorEastAsia" w:hAnsiTheme="minorHAnsi"/>
      <w:sz w:val="16"/>
      <w:szCs w:val="22"/>
      <w:lang w:val="en-US"/>
    </w:rPr>
  </w:style>
  <w:style w:type="paragraph" w:styleId="Nadpis2netun" w:customStyle="1">
    <w:name w:val="Nadpis 2 netučný"/>
    <w:basedOn w:val="Heading2"/>
    <w:link w:val="Nadpis2netunChar"/>
    <w:qFormat/>
    <w:rsid w:val="00d666aa"/>
    <w:pPr>
      <w:suppressAutoHyphens w:val="true"/>
      <w:spacing w:before="320" w:after="160"/>
    </w:pPr>
    <w:rPr>
      <w:b w:val="false"/>
      <w:bCs w:val="false"/>
      <w:color w:val="545860"/>
      <w:kern w:val="2"/>
      <w:sz w:val="32"/>
      <w:szCs w:val="32"/>
      <w14:ligatures w14:val="standardContextual"/>
    </w:rPr>
  </w:style>
  <w:style w:type="paragraph" w:styleId="JVSOdrka" w:customStyle="1">
    <w:name w:val="JVS Odrážka"/>
    <w:basedOn w:val="ListParagraph"/>
    <w:link w:val="JVSOdrkaChar"/>
    <w:qFormat/>
    <w:rsid w:val="00d666aa"/>
    <w:pPr>
      <w:numPr>
        <w:ilvl w:val="0"/>
        <w:numId w:val="50"/>
      </w:numPr>
      <w:tabs>
        <w:tab w:val="clear" w:pos="720"/>
        <w:tab w:val="left" w:pos="2768" w:leader="none"/>
      </w:tabs>
      <w:spacing w:lineRule="auto" w:line="288" w:before="60" w:after="60"/>
      <w:ind w:start="454"/>
      <w:contextualSpacing w:val="false"/>
      <w:jc w:val="both"/>
    </w:pPr>
    <w:rPr>
      <w:rFonts w:eastAsia="MS Mincho"/>
      <w:lang w:eastAsia="cs-CZ"/>
    </w:rPr>
  </w:style>
  <w:style w:type="paragraph" w:styleId="TitulNadpis" w:customStyle="1">
    <w:name w:val="Titul Nadpis"/>
    <w:basedOn w:val="Normal"/>
    <w:link w:val="TitulNadpisChar"/>
    <w:qFormat/>
    <w:rsid w:val="00d666aa"/>
    <w:pPr>
      <w:spacing w:lineRule="auto" w:line="240" w:before="120" w:after="480"/>
    </w:pPr>
    <w:rPr>
      <w:rFonts w:eastAsia="MS Mincho" w:cs="Arial"/>
      <w:b/>
      <w:bCs/>
      <w:color w:val="00459B"/>
      <w:sz w:val="60"/>
      <w:szCs w:val="60"/>
      <w:lang w:eastAsia="cs-CZ"/>
    </w:rPr>
  </w:style>
  <w:style w:type="paragraph" w:styleId="odrazky2" w:customStyle="1">
    <w:name w:val="odrazky 2"/>
    <w:basedOn w:val="JVSOdrka"/>
    <w:qFormat/>
    <w:rsid w:val="00d666aa"/>
    <w:pPr>
      <w:tabs>
        <w:tab w:val="left" w:pos="2880" w:leader="none"/>
      </w:tabs>
      <w:spacing w:lineRule="auto" w:line="276"/>
      <w:ind w:hanging="284" w:start="1078"/>
    </w:pPr>
    <w:rPr/>
  </w:style>
  <w:style w:type="paragraph" w:styleId="tabulkatext" w:customStyle="1">
    <w:name w:val="tabulka text"/>
    <w:basedOn w:val="Heading1"/>
    <w:link w:val="tabulkatextChar"/>
    <w:qFormat/>
    <w:rsid w:val="00d666aa"/>
    <w:pPr>
      <w:snapToGrid w:val="false"/>
      <w:spacing w:lineRule="auto" w:line="288" w:before="60" w:after="60"/>
    </w:pPr>
    <w:rPr>
      <w:rFonts w:ascii="Arial" w:hAnsi="Arial" w:eastAsia="MS Mincho" w:cs="Azeret Mono"/>
      <w:b w:val="false"/>
      <w:bCs w:val="false"/>
      <w:color w:val="auto"/>
      <w:sz w:val="20"/>
      <w:szCs w:val="20"/>
      <w:lang w:eastAsia="cs-CZ"/>
    </w:rPr>
  </w:style>
  <w:style w:type="paragraph" w:styleId="pismenaodrazky" w:customStyle="1">
    <w:name w:val="pismena odrazky"/>
    <w:basedOn w:val="ListParagraph"/>
    <w:link w:val="pismenaodrazkyChar"/>
    <w:qFormat/>
    <w:rsid w:val="00d666aa"/>
    <w:pPr>
      <w:numPr>
        <w:ilvl w:val="0"/>
        <w:numId w:val="51"/>
      </w:numPr>
      <w:spacing w:before="0" w:after="160"/>
      <w:ind w:hanging="340" w:start="680"/>
      <w:contextualSpacing w:val="false"/>
      <w:jc w:val="both"/>
    </w:pPr>
    <w:rPr>
      <w:rFonts w:eastAsia="MS Mincho"/>
      <w:lang w:eastAsia="cs-CZ"/>
    </w:rPr>
  </w:style>
  <w:style w:type="paragraph" w:styleId="tabulkanadpis" w:customStyle="1">
    <w:name w:val="tabulka nadpis"/>
    <w:basedOn w:val="Heading1"/>
    <w:link w:val="tabulkanadpisChar"/>
    <w:qFormat/>
    <w:rsid w:val="00d666aa"/>
    <w:pPr>
      <w:snapToGrid w:val="false"/>
      <w:spacing w:lineRule="auto" w:line="288" w:before="60" w:after="60"/>
    </w:pPr>
    <w:rPr>
      <w:rFonts w:ascii="Arial" w:hAnsi="Arial" w:eastAsia="MS Mincho" w:cs="Azeret Mono"/>
      <w:color w:val="FFFFFF"/>
      <w:sz w:val="22"/>
      <w:szCs w:val="22"/>
      <w:lang w:eastAsia="cs-CZ"/>
    </w:rPr>
  </w:style>
  <w:style w:type="paragraph" w:styleId="BodyTextIndent2">
    <w:name w:val="Body Text Indent 2"/>
    <w:basedOn w:val="Normal"/>
    <w:link w:val="Zkladntextodsazen2Char"/>
    <w:uiPriority w:val="99"/>
    <w:semiHidden/>
    <w:unhideWhenUsed/>
    <w:rsid w:val="00d666aa"/>
    <w:pPr>
      <w:spacing w:lineRule="auto" w:line="480" w:before="0" w:after="120"/>
      <w:ind w:start="283"/>
    </w:pPr>
    <w:rPr>
      <w:rFonts w:ascii="Times New Roman" w:hAnsi="Times New Roman" w:eastAsia="Times New Roman" w:cs="Times New Roman"/>
      <w:lang w:eastAsia="cs-CZ"/>
    </w:rPr>
  </w:style>
  <w:style w:type="paragraph" w:styleId="BodyTextIndent">
    <w:name w:val="Body Text Indent"/>
    <w:basedOn w:val="Normal"/>
    <w:link w:val="ZkladntextodsazenChar"/>
    <w:uiPriority w:val="99"/>
    <w:semiHidden/>
    <w:unhideWhenUsed/>
    <w:rsid w:val="00d666aa"/>
    <w:pPr>
      <w:spacing w:lineRule="auto" w:line="240" w:before="0" w:after="120"/>
      <w:ind w:start="283"/>
    </w:pPr>
    <w:rPr>
      <w:rFonts w:ascii="Times New Roman" w:hAnsi="Times New Roman" w:eastAsia="Times New Roman" w:cs="Times New Roman"/>
      <w:lang w:eastAsia="cs-CZ"/>
    </w:rPr>
  </w:style>
  <w:style w:type="paragraph" w:styleId="PlainText">
    <w:name w:val="Plain Text"/>
    <w:basedOn w:val="Normal"/>
    <w:link w:val="ProsttextChar"/>
    <w:uiPriority w:val="99"/>
    <w:unhideWhenUsed/>
    <w:rsid w:val="00d666aa"/>
    <w:pPr>
      <w:spacing w:lineRule="auto" w:line="240"/>
    </w:pPr>
    <w:rPr>
      <w:rFonts w:ascii="Consolas" w:hAnsi="Consolas" w:eastAsia="Calibri" w:cs="Times New Roman"/>
      <w:sz w:val="21"/>
      <w:szCs w:val="21"/>
    </w:rPr>
  </w:style>
  <w:style w:type="paragraph" w:styleId="poznamka" w:customStyle="1">
    <w:name w:val="poznamka"/>
    <w:basedOn w:val="FootnoteText"/>
    <w:link w:val="poznamkaChar"/>
    <w:qFormat/>
    <w:rsid w:val="00d666aa"/>
    <w:pPr>
      <w:spacing w:before="0" w:after="40"/>
      <w:ind w:hanging="113" w:start="113"/>
    </w:pPr>
    <w:rPr>
      <w:kern w:val="2"/>
      <w:sz w:val="15"/>
      <w14:ligatures w14:val="standardContextual"/>
    </w:rPr>
  </w:style>
  <w:style w:type="paragraph" w:styleId="odst2" w:customStyle="1">
    <w:name w:val="odst2"/>
    <w:link w:val="odst2Char"/>
    <w:qFormat/>
    <w:rsid w:val="00d666aa"/>
    <w:pPr>
      <w:widowControl/>
      <w:bidi w:val="0"/>
      <w:spacing w:lineRule="auto" w:line="276" w:before="0" w:after="200"/>
      <w:ind w:hanging="567" w:start="6805"/>
      <w:jc w:val="start"/>
    </w:pPr>
    <w:rPr>
      <w:rFonts w:ascii="Arial" w:hAnsi="Arial" w:eastAsia="Arial" w:cs="Arial"/>
      <w:color w:val="000000"/>
      <w:kern w:val="0"/>
      <w:sz w:val="20"/>
      <w:szCs w:val="20"/>
      <w:lang w:val="cs-CZ" w:eastAsia="en-US" w:bidi="ar-SA"/>
    </w:rPr>
  </w:style>
  <w:style w:type="paragraph" w:styleId="zpattitulnstrnka" w:customStyle="1">
    <w:name w:val="zápatí titulní stránka"/>
    <w:basedOn w:val="Footer"/>
    <w:link w:val="zpattitulnstrnkaChar"/>
    <w:qFormat/>
    <w:rsid w:val="00d666aa"/>
    <w:pPr>
      <w:spacing w:before="240" w:after="0"/>
      <w:contextualSpacing/>
      <w:jc w:val="both"/>
    </w:pPr>
    <w:rPr>
      <w:color w:val="888B95"/>
      <w:kern w:val="2"/>
      <w:sz w:val="16"/>
      <w14:ligatures w14:val="standardContextual"/>
    </w:rPr>
  </w:style>
  <w:style w:type="paragraph" w:styleId="zpatpublikace" w:customStyle="1">
    <w:name w:val="zápatí publikace"/>
    <w:basedOn w:val="Footer"/>
    <w:link w:val="zpatpublikaceChar"/>
    <w:qFormat/>
    <w:rsid w:val="00d666aa"/>
    <w:pPr>
      <w:spacing w:before="0" w:after="0"/>
      <w:contextualSpacing/>
      <w:jc w:val="both"/>
    </w:pPr>
    <w:rPr>
      <w:color w:val="888B95"/>
      <w:kern w:val="2"/>
      <w:sz w:val="16"/>
      <w14:ligatures w14:val="standardContextual"/>
    </w:rPr>
  </w:style>
  <w:style w:type="paragraph" w:styleId="Titulpodnadpis" w:customStyle="1">
    <w:name w:val="Titul podnadpis"/>
    <w:basedOn w:val="Normal"/>
    <w:link w:val="TitulpodnadpisChar"/>
    <w:qFormat/>
    <w:rsid w:val="00d666aa"/>
    <w:pPr>
      <w:spacing w:before="0" w:after="160"/>
    </w:pPr>
    <w:rPr>
      <w:color w:val="545860"/>
      <w:kern w:val="2"/>
      <w:sz w:val="32"/>
      <w:szCs w:val="32"/>
      <w14:ligatures w14:val="standardContextual"/>
    </w:rPr>
  </w:style>
  <w:style w:type="paragraph" w:styleId="Titulnormln" w:customStyle="1">
    <w:name w:val="Titul normální"/>
    <w:basedOn w:val="Normal"/>
    <w:link w:val="TitulnormlnChar"/>
    <w:qFormat/>
    <w:rsid w:val="00d666aa"/>
    <w:pPr>
      <w:spacing w:before="0" w:after="160"/>
      <w:jc w:val="both"/>
    </w:pPr>
    <w:rPr>
      <w:color w:val="545860"/>
      <w:kern w:val="2"/>
      <w:sz w:val="26"/>
      <w:szCs w:val="26"/>
      <w14:ligatures w14:val="standardContextual"/>
    </w:rPr>
  </w:style>
  <w:style w:type="paragraph" w:styleId="Nadpis2modr" w:customStyle="1">
    <w:name w:val="Nadpis 2 modrý"/>
    <w:basedOn w:val="Heading2"/>
    <w:link w:val="Nadpis2modrChar"/>
    <w:qFormat/>
    <w:rsid w:val="00d666aa"/>
    <w:pPr>
      <w:suppressAutoHyphens w:val="true"/>
      <w:spacing w:before="320" w:after="160"/>
    </w:pPr>
    <w:rPr>
      <w:color w:val="00469B"/>
      <w:kern w:val="2"/>
      <w:sz w:val="32"/>
      <w:szCs w:val="32"/>
      <w14:ligatures w14:val="standardContextual"/>
    </w:rPr>
  </w:style>
  <w:style w:type="paragraph" w:styleId="Nadpis3modr" w:customStyle="1">
    <w:name w:val="Nadpis 3 modrý"/>
    <w:basedOn w:val="Heading3"/>
    <w:link w:val="Nadpis3modrChar"/>
    <w:qFormat/>
    <w:rsid w:val="00d666aa"/>
    <w:pPr>
      <w:suppressAutoHyphens w:val="true"/>
      <w:spacing w:before="320" w:after="160"/>
    </w:pPr>
    <w:rPr>
      <w:rFonts w:ascii="Arial" w:hAnsi="Arial"/>
      <w:color w:val="00469B"/>
      <w:kern w:val="2"/>
      <w:sz w:val="28"/>
      <w:szCs w:val="28"/>
      <w14:ligatures w14:val="standardContextual"/>
    </w:rPr>
  </w:style>
  <w:style w:type="paragraph" w:styleId="Nadpis4modr" w:customStyle="1">
    <w:name w:val="Nadpis 4 modrý"/>
    <w:basedOn w:val="Heading4"/>
    <w:link w:val="Nadpis4modrChar"/>
    <w:qFormat/>
    <w:rsid w:val="00d666aa"/>
    <w:pPr>
      <w:suppressAutoHyphens w:val="true"/>
      <w:spacing w:before="320" w:after="160"/>
    </w:pPr>
    <w:rPr>
      <w:rFonts w:ascii="Arial" w:hAnsi="Arial"/>
      <w:i w:val="false"/>
      <w:iCs w:val="false"/>
      <w:color w:val="00469B"/>
      <w:kern w:val="2"/>
      <w:sz w:val="24"/>
      <w:szCs w:val="24"/>
      <w14:ligatures w14:val="standardContextual"/>
    </w:rPr>
  </w:style>
  <w:style w:type="paragraph" w:styleId="Nadpis5modr" w:customStyle="1">
    <w:name w:val="Nadpis 5 modrý"/>
    <w:basedOn w:val="Heading5"/>
    <w:link w:val="Nadpis5modrChar"/>
    <w:qFormat/>
    <w:rsid w:val="00d666aa"/>
    <w:pPr>
      <w:suppressAutoHyphens w:val="true"/>
      <w:spacing w:before="320" w:after="160"/>
    </w:pPr>
    <w:rPr>
      <w:rFonts w:ascii="Arial" w:hAnsi="Arial"/>
      <w:b/>
      <w:bCs/>
      <w:color w:val="00469B"/>
      <w:kern w:val="2"/>
      <w14:ligatures w14:val="standardContextual"/>
    </w:rPr>
  </w:style>
  <w:style w:type="paragraph" w:styleId="Nadpis6modr" w:customStyle="1">
    <w:name w:val="Nadpis 6 modrý"/>
    <w:basedOn w:val="Heading6"/>
    <w:link w:val="Nadpis6modrChar"/>
    <w:qFormat/>
    <w:rsid w:val="00d666aa"/>
    <w:pPr>
      <w:suppressAutoHyphens w:val="true"/>
      <w:spacing w:before="320" w:after="80"/>
    </w:pPr>
    <w:rPr>
      <w:rFonts w:ascii="Arial" w:hAnsi="Arial"/>
      <w:b/>
      <w:bCs/>
      <w:i w:val="false"/>
      <w:iCs w:val="false"/>
      <w:color w:val="00469B"/>
      <w:kern w:val="2"/>
      <w14:ligatures w14:val="standardContextual"/>
    </w:rPr>
  </w:style>
  <w:style w:type="paragraph" w:styleId="puntik" w:customStyle="1">
    <w:name w:val="puntik"/>
    <w:basedOn w:val="Normal"/>
    <w:rsid w:val="00d666aa"/>
    <w:pPr>
      <w:spacing w:before="0" w:after="160"/>
      <w:jc w:val="both"/>
    </w:pPr>
    <w:rPr>
      <w:kern w:val="2"/>
      <w14:ligatures w14:val="standardContextual"/>
    </w:rPr>
  </w:style>
  <w:style w:type="paragraph" w:styleId="Cittpodbarven" w:customStyle="1">
    <w:name w:val="Citát podbarvení"/>
    <w:basedOn w:val="Quote"/>
    <w:link w:val="CittpodbarvenChar"/>
    <w:qFormat/>
    <w:rsid w:val="00d666aa"/>
    <w:pPr>
      <w:pBdr>
        <w:top w:val="single" w:sz="48" w:space="1" w:color="D3E6F5"/>
        <w:left w:val="single" w:sz="48" w:space="4" w:color="D3E6F5"/>
        <w:bottom w:val="single" w:sz="48" w:space="1" w:color="D3E6F5"/>
        <w:right w:val="single" w:sz="48" w:space="4" w:color="D3E6F5"/>
      </w:pBdr>
      <w:shd w:val="clear" w:color="auto" w:fill="D3E6F5"/>
      <w:spacing w:before="320" w:after="320"/>
      <w:ind w:start="170" w:end="170"/>
      <w:jc w:val="both"/>
    </w:pPr>
    <w:rPr>
      <w:rFonts w:eastAsia="Arial"/>
      <w:kern w:val="2"/>
      <w:sz w:val="20"/>
      <w:szCs w:val="20"/>
      <w:lang w:val="cs-CZ"/>
      <w14:ligatures w14:val="standardContextual"/>
    </w:rPr>
  </w:style>
  <w:style w:type="paragraph" w:styleId="Nadpis3-GL" w:customStyle="1">
    <w:name w:val="Nadpis 3 - GL"/>
    <w:basedOn w:val="Heading3"/>
    <w:next w:val="Normal"/>
    <w:qFormat/>
    <w:rsid w:val="00d666aa"/>
    <w:pPr>
      <w:spacing w:lineRule="auto" w:line="259" w:before="240" w:after="0"/>
    </w:pPr>
    <w:rPr>
      <w:rFonts w:ascii="Ebrima" w:hAnsi="Ebrima" w:cs="Ebrima"/>
      <w:b w:val="false"/>
      <w:bCs w:val="false"/>
      <w:color w:val="D70C0F"/>
      <w:kern w:val="2"/>
      <w:sz w:val="24"/>
      <w:szCs w:val="24"/>
      <w14:ligatures w14:val="standardContextual"/>
    </w:rPr>
  </w:style>
  <w:style w:type="paragraph" w:styleId="Nadpis2-GL" w:customStyle="1">
    <w:name w:val="Nadpis 2 - GL"/>
    <w:basedOn w:val="Heading2"/>
    <w:next w:val="Normal"/>
    <w:qFormat/>
    <w:rsid w:val="00d666aa"/>
    <w:pPr>
      <w:spacing w:lineRule="auto" w:line="259" w:before="480" w:after="120"/>
    </w:pPr>
    <w:rPr>
      <w:rFonts w:ascii="Ebrima" w:hAnsi="Ebrima" w:cs="Ebrima"/>
      <w:bCs w:val="false"/>
      <w:color w:val="003374"/>
      <w:kern w:val="2"/>
      <w:sz w:val="28"/>
      <w:szCs w:val="26"/>
      <w14:ligatures w14:val="standardContextual"/>
    </w:rPr>
  </w:style>
  <w:style w:type="paragraph" w:styleId="Nadpis3ed" w:customStyle="1">
    <w:name w:val="Nadpis 3 šedý"/>
    <w:basedOn w:val="Heading3"/>
    <w:next w:val="Normal"/>
    <w:link w:val="Nadpis3edChar"/>
    <w:qFormat/>
    <w:rsid w:val="00d666aa"/>
    <w:pPr>
      <w:suppressAutoHyphens w:val="true"/>
      <w:spacing w:before="320" w:after="160"/>
    </w:pPr>
    <w:rPr>
      <w:color w:val="545860"/>
      <w:kern w:val="2"/>
      <w:sz w:val="24"/>
      <w:szCs w:val="28"/>
      <w14:ligatures w14:val="standardContextual"/>
    </w:rPr>
  </w:style>
  <w:style w:type="paragraph" w:styleId="Nadpis2tmavmodr" w:customStyle="1">
    <w:name w:val="Nadpis 2 tmavě modrý"/>
    <w:basedOn w:val="Heading2"/>
    <w:next w:val="Normal"/>
    <w:qFormat/>
    <w:rsid w:val="00d666aa"/>
    <w:pPr>
      <w:spacing w:lineRule="auto" w:line="259" w:before="480" w:after="120"/>
    </w:pPr>
    <w:rPr>
      <w:rFonts w:cs="Ebrima"/>
      <w:bCs w:val="false"/>
      <w:color w:val="003374"/>
      <w:kern w:val="2"/>
      <w:sz w:val="28"/>
      <w:szCs w:val="26"/>
      <w14:ligatures w14:val="standardContextual"/>
    </w:rPr>
  </w:style>
  <w:style w:type="paragraph" w:styleId="Nadpisuser" w:customStyle="1">
    <w:name w:val="Nadpis (user)"/>
    <w:basedOn w:val="Heading1"/>
    <w:next w:val="Normal"/>
    <w:qFormat/>
    <w:rsid w:val="00d666aa"/>
    <w:pPr>
      <w:spacing w:lineRule="auto" w:line="259" w:before="480" w:after="0"/>
    </w:pPr>
    <w:rPr>
      <w:rFonts w:cs="Ebrima"/>
      <w:bCs w:val="false"/>
      <w:color w:val="00415F"/>
      <w:kern w:val="2"/>
      <w:sz w:val="44"/>
      <w:szCs w:val="36"/>
      <w14:ligatures w14:val="standardContextual"/>
    </w:rPr>
  </w:style>
  <w:style w:type="paragraph" w:styleId="EndnoteText">
    <w:name w:val="endnote text"/>
    <w:basedOn w:val="Normal"/>
    <w:link w:val="TextvysvtlivekChar1"/>
    <w:uiPriority w:val="99"/>
    <w:semiHidden/>
    <w:unhideWhenUsed/>
    <w:rsid w:val="00d666aa"/>
    <w:pPr>
      <w:spacing w:lineRule="auto" w:line="240"/>
    </w:pPr>
    <w:rPr/>
  </w:style>
  <w:style w:type="numbering" w:styleId="Bezseznamu" w:default="1">
    <w:name w:val="Bez seznamu"/>
    <w:uiPriority w:val="99"/>
    <w:semiHidden/>
    <w:unhideWhenUsed/>
  </w:style>
  <w:style w:type="numbering" w:styleId="Bezseznamu1" w:customStyle="1">
    <w:name w:val="Bez seznamu1"/>
    <w:uiPriority w:val="99"/>
    <w:semiHidden/>
    <w:unhideWhenUsed/>
    <w:rsid w:val="00d666aa"/>
  </w:style>
  <w:style w:type="numbering" w:styleId="Stylseznamu-nadpisyslovan" w:customStyle="1">
    <w:name w:val="Styl seznamu - nadpisy číslované"/>
    <w:uiPriority w:val="99"/>
    <w:rsid w:val="00d666aa"/>
  </w:style>
  <w:style w:type="numbering" w:styleId="Stylseznamu-odstavceslovan" w:customStyle="1">
    <w:name w:val="Styl seznamu - odstavce číslované"/>
    <w:uiPriority w:val="99"/>
    <w:rsid w:val="00d666aa"/>
  </w:style>
  <w:style w:type="numbering" w:styleId="Stylseznamu-odrky" w:customStyle="1">
    <w:name w:val="Styl seznamu - odrážky"/>
    <w:uiPriority w:val="99"/>
    <w:rsid w:val="00d666aa"/>
  </w:style>
  <w:style w:type="table" w:default="1" w:styleId="Normlntabulka">
    <w:name w:val="Normal Table"/>
    <w:uiPriority w:val="99"/>
    <w:semiHidden/>
    <w:unhideWhenUsed/>
    <w:tblPr>
      <w:tblCellMar>
        <w:top w:w="0" w:type="dxa"/>
        <w:left w:w="108" w:type="dxa"/>
        <w:bottom w:w="0" w:type="dxa"/>
        <w:right w:w="108" w:type="dxa"/>
      </w:tblCellMar>
    </w:tblPr>
  </w:style>
  <w:style w:type="table" w:styleId="Mkatabulky">
    <w:name w:val="Table Grid"/>
    <w:basedOn w:val="Normlntabulka"/>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katabulky1">
    <w:name w:val="Mřížka tabulky1"/>
    <w:basedOn w:val="Normlntabulka"/>
    <w:uiPriority w:val="39"/>
    <w:rsid w:val="00d666aa"/>
    <w:pPr>
      <w:spacing w:after="0" w:line="240" w:lineRule="auto"/>
      <w:jc w:val="both"/>
    </w:pPr>
    <w:rPr>
      <w:sz w:val="20"/>
      <w:szCs w:val="20"/>
      <w:lang w:val="cs-C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ulkaJVS5-navodndaje">
    <w:name w:val="Tabulka JVS 5 - na úvodní údaje"/>
    <w:basedOn w:val="Normlntabulka"/>
    <w:uiPriority w:val="99"/>
    <w:rsid w:val="00d666aa"/>
    <w:pPr>
      <w:spacing w:after="0"/>
    </w:pPr>
    <w:rPr>
      <w:sz w:val="20"/>
      <w:szCs w:val="20"/>
      <w:lang w:val="cs-CZ"/>
    </w:rPr>
    <w:tblPr>
      <w:tblCellMar>
        <w:left w:w="0" w:type="dxa"/>
        <w:right w:w="0" w:type="dxa"/>
      </w:tblCellMar>
    </w:tblPr>
  </w:style>
  <w:style w:type="table" w:customStyle="1" w:styleId="TabulkaJVS1-ed">
    <w:name w:val="Tabulka JVS 1 - šedá"/>
    <w:basedOn w:val="Normlntabulka"/>
    <w:uiPriority w:val="99"/>
    <w:rsid w:val="00d666aa"/>
    <w:pPr>
      <w:spacing w:after="0"/>
    </w:pPr>
    <w:rPr>
      <w:sz w:val="20"/>
      <w:szCs w:val="20"/>
      <w:lang w:val="cs-CZ"/>
    </w:rPr>
    <w:tblPr>
      <w:tblBorders>
        <w:top w:val="single" w:color="393B41" w:sz="4" w:space="0"/>
        <w:left w:val="single" w:color="393B41" w:sz="4" w:space="0"/>
        <w:bottom w:val="single" w:color="393B41" w:sz="4" w:space="0"/>
        <w:right w:val="single" w:color="393B41" w:sz="4" w:space="0"/>
        <w:insideH w:val="single" w:color="393B41" w:sz="4" w:space="0"/>
        <w:insideV w:val="single" w:color="393B41" w:sz="4" w:space="0"/>
      </w:tblBorders>
      <w:tblCellMar>
        <w:top w:w="57" w:type="dxa"/>
        <w:bottom w:w="57" w:type="dxa"/>
      </w:tblCellMar>
    </w:tblPr>
    <w:tblStylePr w:type="firstRow">
      <w:rPr>
        <w:b w:val="0"/>
        <w:i w:val="0"/>
      </w:rPr>
      <w:tblPr/>
      <w:tcPr>
        <w:tcBorders>
          <w:top w:val="single" w:color="393B41" w:sz="4" w:space="0"/>
          <w:left w:val="single" w:color="393B41" w:sz="4" w:space="0"/>
          <w:bottom w:val="single" w:color="393B41" w:sz="4" w:space="0"/>
          <w:right w:val="single" w:color="393B41" w:sz="4" w:space="0"/>
          <w:insideH w:val="single" w:color="393B41" w:sz="4" w:space="0"/>
          <w:insideV w:val="single" w:color="393B41" w:sz="4" w:space="0"/>
          <w:tl2br w:val="nil"/>
          <w:tr2bl w:val="nil"/>
        </w:tcBorders>
        <w:shd w:val="clear" w:color="auto" w:fill="393B41"/>
      </w:tcPr>
    </w:tblStylePr>
    <w:tblStylePr w:type="lastRow">
      <w:tblPr/>
      <w:tcPr>
        <w:tcBorders>
          <w:top w:val="single" w:color="393B41" w:sz="12" w:space="0"/>
          <w:left w:val="single" w:color="393B41" w:sz="4" w:space="0"/>
          <w:bottom w:val="single" w:color="393B41" w:sz="4" w:space="0"/>
          <w:right w:val="single" w:color="393B41" w:sz="4" w:space="0"/>
          <w:insideH w:val="single" w:color="393B41" w:sz="4" w:space="0"/>
          <w:insideV w:val="single" w:color="393B41" w:sz="4" w:space="0"/>
          <w:tl2br w:val="nil"/>
          <w:tr2bl w:val="nil"/>
        </w:tcBorders>
      </w:tcPr>
    </w:tblStylePr>
  </w:style>
  <w:style w:type="table" w:customStyle="1" w:styleId="TabulkaJVS2-modr">
    <w:name w:val="Tabulka JVS 2 - modrá"/>
    <w:basedOn w:val="Normlntabulka"/>
    <w:uiPriority w:val="99"/>
    <w:rsid w:val="00d666aa"/>
    <w:pPr>
      <w:spacing w:before="60" w:after="60"/>
    </w:pPr>
    <w:rPr>
      <w:sz w:val="20"/>
      <w:szCs w:val="20"/>
      <w:lang w:val="cs-CZ"/>
    </w:rPr>
    <w:tblPr>
      <w:tblBorders>
        <w:top w:val="single" w:color="00459B" w:sz="4" w:space="0"/>
        <w:left w:val="single" w:color="00459B" w:sz="4" w:space="0"/>
        <w:bottom w:val="single" w:color="00459B" w:sz="4" w:space="0"/>
        <w:right w:val="single" w:color="00459B" w:sz="4" w:space="0"/>
        <w:insideH w:val="single" w:color="00459B" w:sz="4" w:space="0"/>
        <w:insideV w:val="single" w:color="00459B" w:sz="4" w:space="0"/>
      </w:tblBorders>
      <w:tblCellMar>
        <w:top w:w="57" w:type="dxa"/>
        <w:bottom w:w="57" w:type="dxa"/>
      </w:tblCellMar>
    </w:tblPr>
    <w:tblStylePr w:type="firstRow">
      <w:rPr>
        <w:sz w:val="22"/>
      </w:rPr>
      <w:tblPr/>
      <w:tcPr>
        <w:tcBorders>
          <w:top w:val="single" w:color="00459B" w:sz="4" w:space="0"/>
          <w:left w:val="single" w:color="00459B" w:sz="4" w:space="0"/>
          <w:bottom w:val="single" w:color="00459B" w:sz="4" w:space="0"/>
          <w:right w:val="single" w:color="00459B" w:sz="4" w:space="0"/>
          <w:insideH w:val="single" w:color="00459B" w:sz="4" w:space="0"/>
          <w:insideV w:val="single" w:color="00459B" w:sz="4" w:space="0"/>
          <w:tl2br w:val="nil"/>
          <w:tr2bl w:val="nil"/>
        </w:tcBorders>
        <w:shd w:val="clear" w:color="auto" w:fill="00459B"/>
      </w:tcPr>
    </w:tblStylePr>
    <w:tblStylePr w:type="lastRow">
      <w:tblPr/>
      <w:tcPr>
        <w:tcBorders>
          <w:top w:val="single" w:color="00459B" w:sz="12" w:space="0"/>
          <w:left w:val="single" w:color="00459B" w:sz="4" w:space="0"/>
          <w:bottom w:val="single" w:color="00459B" w:sz="4" w:space="0"/>
          <w:right w:val="single" w:color="00459B" w:sz="4" w:space="0"/>
          <w:insideH w:val="nil"/>
          <w:insideV w:val="single" w:color="00459B" w:sz="4" w:space="0"/>
          <w:tl2br w:val="nil"/>
          <w:tr2bl w:val="nil"/>
        </w:tcBorders>
      </w:tcPr>
    </w:tblStylePr>
  </w:style>
  <w:style w:type="table" w:customStyle="1" w:styleId="TabulkaJVS3-bl">
    <w:name w:val="Tabulka JVS 3 - bílá"/>
    <w:basedOn w:val="Normlntabulka"/>
    <w:uiPriority w:val="99"/>
    <w:rsid w:val="00d666aa"/>
    <w:pPr>
      <w:spacing w:after="0"/>
    </w:pPr>
    <w:rPr>
      <w:sz w:val="20"/>
      <w:szCs w:val="20"/>
      <w:lang w:val="cs-CZ"/>
    </w:rPr>
    <w:tblPr>
      <w:tblBorders>
        <w:top w:val="single" w:color="A7A9B3" w:sz="4" w:space="0"/>
        <w:left w:val="single" w:color="A7A9B3" w:sz="4" w:space="0"/>
        <w:bottom w:val="single" w:color="A7A9B3" w:sz="4" w:space="0"/>
        <w:right w:val="single" w:color="A7A9B3" w:sz="4" w:space="0"/>
        <w:insideH w:val="single" w:color="A7A9B3" w:sz="4" w:space="0"/>
        <w:insideV w:val="single" w:color="A7A9B3" w:sz="4" w:space="0"/>
      </w:tblBorders>
      <w:tblCellMar>
        <w:top w:w="57" w:type="dxa"/>
        <w:bottom w:w="57" w:type="dxa"/>
      </w:tblCellMar>
    </w:tblPr>
    <w:tblStylePr w:type="lastRow">
      <w:tblPr/>
      <w:tcPr>
        <w:tcBorders>
          <w:top w:val="single" w:color="A7A9B3" w:sz="12" w:space="0"/>
          <w:left w:val="single" w:color="A7A9B3" w:sz="4" w:space="0"/>
          <w:bottom w:val="single" w:color="A7A9B3" w:sz="4" w:space="0"/>
          <w:right w:val="single" w:color="A7A9B3" w:sz="4" w:space="0"/>
          <w:insideH w:val="nil"/>
          <w:insideV w:val="single" w:color="A7A9B3" w:sz="4" w:space="0"/>
          <w:tl2br w:val="nil"/>
          <w:tr2bl w:val="nil"/>
        </w:tcBorders>
      </w:tcPr>
    </w:tblStylePr>
  </w:style>
  <w:style w:type="table" w:customStyle="1" w:styleId="TabulkaJVS4-bezohranien">
    <w:name w:val="Tabulka JVS 4 - bez ohraničení"/>
    <w:basedOn w:val="Normlntabulka"/>
    <w:uiPriority w:val="99"/>
    <w:rsid w:val="00d666aa"/>
    <w:pPr>
      <w:spacing w:after="160"/>
    </w:pPr>
    <w:rPr>
      <w:sz w:val="20"/>
      <w:szCs w:val="20"/>
      <w:lang w:val="cs-CZ"/>
    </w:rPr>
    <w:tblPr>
      <w:tblCellMar>
        <w:left w:w="0" w:type="dxa"/>
        <w:right w:w="0" w:type="dxa"/>
      </w:tblCellMar>
    </w:tblPr>
  </w:style>
  <w:style w:type="table" w:customStyle="1" w:styleId="Svtltabulkasmkou1zvraznn11">
    <w:name w:val="Světlá tabulka s mřížkou 1 – zvýraznění 11"/>
    <w:basedOn w:val="Normlntabulka"/>
    <w:uiPriority w:val="46"/>
    <w:rsid w:val="00d666aa"/>
    <w:pPr>
      <w:spacing w:after="0" w:line="240" w:lineRule="auto"/>
      <w:jc w:val="both"/>
    </w:pPr>
    <w:rPr>
      <w:sz w:val="20"/>
      <w:szCs w:val="20"/>
      <w:lang w:val="cs-CZ"/>
    </w:rPr>
    <w:tblPr>
      <w:tblStyleRowBandSize w:val="1"/>
      <w:tblStyleColBandSize w:val="1"/>
      <w:tblBorders>
        <w:top w:val="single" w:color="71AFFF" w:sz="4" w:space="0"/>
        <w:left w:val="single" w:color="71AFFF" w:sz="4" w:space="0"/>
        <w:bottom w:val="single" w:color="71AFFF" w:sz="4" w:space="0"/>
        <w:right w:val="single" w:color="71AFFF" w:sz="4" w:space="0"/>
        <w:insideH w:val="single" w:color="71AFFF" w:sz="4" w:space="0"/>
        <w:insideV w:val="single" w:color="71AFFF" w:sz="4" w:space="0"/>
      </w:tblBorders>
    </w:tblPr>
    <w:tblStylePr w:type="firstRow">
      <w:rPr>
        <w:b/>
        <w:bCs/>
      </w:rPr>
      <w:tblPr/>
      <w:tcPr>
        <w:tcBorders>
          <w:bottom w:val="single" w:color="2A88FF" w:sz="12" w:space="0"/>
        </w:tcBorders>
      </w:tcPr>
    </w:tblStylePr>
    <w:tblStylePr w:type="lastRow">
      <w:rPr>
        <w:b/>
        <w:bCs/>
      </w:rPr>
      <w:tblPr/>
      <w:tcPr>
        <w:tcBorders>
          <w:top w:val="double" w:color="2A88FF" w:sz="2" w:space="0"/>
        </w:tcBorders>
      </w:tcPr>
    </w:tblStylePr>
    <w:tblStylePr w:type="firstCol">
      <w:rPr>
        <w:b/>
        <w:bCs/>
      </w:rPr>
      <w:tblPr/>
    </w:tblStylePr>
    <w:tblStylePr w:type="lastCol">
      <w:rPr>
        <w:b/>
        <w:bCs/>
      </w:rPr>
      <w:tblPr/>
    </w:tblStylePr>
  </w:style>
  <w:style w:type="table" w:customStyle="1" w:styleId="Svtlmkatabulky1">
    <w:name w:val="Světlá mřížka tabulky1"/>
    <w:basedOn w:val="Normlntabulka"/>
    <w:uiPriority w:val="40"/>
    <w:rsid w:val="00d666aa"/>
    <w:pPr>
      <w:spacing w:after="0" w:line="240" w:lineRule="auto"/>
      <w:jc w:val="both"/>
    </w:pPr>
    <w:rPr>
      <w:sz w:val="20"/>
      <w:szCs w:val="20"/>
      <w:lang w:val="cs-CZ"/>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Svtltabulkasmkou1zvraznn1">
    <w:name w:val="Grid Table 1 Light Accent 1"/>
    <w:basedOn w:val="Normlntabulka"/>
    <w:uiPriority w:val="46"/>
    <w:rsid w:val="00d666aa"/>
    <w:pPr>
      <w:spacing w:after="0" w:line="240" w:lineRule="auto"/>
    </w:pPr>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sz="12" w:space="0"/>
        </w:tcBorders>
      </w:tcPr>
    </w:tblStylePr>
    <w:tblStylePr w:type="lastRow">
      <w:rPr>
        <w:b/>
        <w:bCs/>
      </w:rPr>
      <w:tblPr/>
      <w:tcPr>
        <w:tcBorders>
          <w:top w:val="double" w:color="95B3D7" w:themeColor="accent1" w:sz="2" w:space="0"/>
        </w:tcBorders>
      </w:tcPr>
    </w:tblStylePr>
    <w:tblStylePr w:type="firstCol">
      <w:rPr>
        <w:b/>
        <w:bCs/>
      </w:rPr>
      <w:tblPr/>
    </w:tblStylePr>
    <w:tblStylePr w:type="lastCol">
      <w:rPr>
        <w:b/>
        <w:bCs/>
      </w:rPr>
      <w:tblPr/>
    </w:tblStylePr>
  </w:style>
  <w:style w:type="table" w:styleId="Svtlmkatabulky">
    <w:name w:val="Grid Table Light"/>
    <w:basedOn w:val="Normlntabulka"/>
    <w:uiPriority w:val="99"/>
    <w:rsid w:val="00d666aa"/>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eqar.eu/kb/joint-programmes/" TargetMode="External"/><Relationship Id="rId3" Type="http://schemas.openxmlformats.org/officeDocument/2006/relationships/hyperlink" Target="https://www.eqar.eu/assets/uploads/2018/04/02_European_Approach_QA_of_Joint_Programmes_v1_0.pdf"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09A0E-C8DF-48E4-A910-A114751DE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Application>LibreOffice/26.8.1.1$Windows_X86_64 LibreOffice_project/bf6ef2662401c7d6dce671ab4deb26ee0af3a7c1</Application>
  <AppVersion>15.0000</AppVersion>
  <Pages>57</Pages>
  <Words>35009</Words>
  <Characters>224969</Characters>
  <CharactersWithSpaces>258954</CharactersWithSpaces>
  <Paragraphs>988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2026-10-07T10:43:00Z</dcterms:created>
  <dc:creator>Babinec Petr</dc:creator>
  <dc:description>generated by python-docx</dc:description>
  <dc:language>en-GB</dc:language>
  <cp:lastModifiedBy>Venclík Jan</cp:lastModifiedBy>
  <cp:lastPrinted>2026-09-21T16:21:00Z</cp:lastPrinted>
  <dcterms:modified xsi:type="dcterms:W3CDTF">2026-10-14T14:50:00Z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