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1"/>
        <w:rPr/>
      </w:pPr>
      <w:r>
        <w:rPr/>
      </w:r>
    </w:p>
    <w:p>
      <w:pPr>
        <w:pStyle w:val="1"/>
        <w:rPr/>
      </w:pPr>
      <w:r>
        <w:rPr/>
      </w:r>
    </w:p>
    <w:p>
      <w:pPr>
        <w:pStyle w:val="2"/>
        <w:rPr/>
      </w:pPr>
      <w:r>
        <w:rPr/>
        <w:t>…</w:t>
      </w:r>
    </w:p>
    <w:p>
      <w:pPr>
        <w:pStyle w:val="3"/>
        <w:rPr/>
      </w:pPr>
      <w:r>
        <w:rPr/>
        <w:t>VYHLÁŠKA</w:t>
      </w:r>
    </w:p>
    <w:p>
      <w:pPr>
        <w:pStyle w:val="4"/>
        <w:rPr/>
      </w:pPr>
      <w:r>
        <w:rPr/>
        <w:t xml:space="preserve">ze dne …, </w:t>
      </w:r>
    </w:p>
    <w:p>
      <w:pPr>
        <w:pStyle w:val="5"/>
        <w:rPr/>
      </w:pPr>
      <w:r>
        <w:rPr/>
        <w:t>kterou se mění vyhláška č. 259/2012 Sb., o podrobnostech výkonu spisové služby, ve znění pozdějších předpisů, a vyhláška č. 96/2023 Sb., kterou se mění vyhláška č. 259/2012 Sb., o podrobnostech výkonu spisové služby, ve znění pozdějších předpisů</w:t>
      </w:r>
    </w:p>
    <w:p>
      <w:pPr>
        <w:pStyle w:val="6"/>
        <w:rPr/>
      </w:pPr>
      <w:r>
        <w:rPr/>
        <w:t>Ministerstvo vnitra stanoví podle § 86 zákona č. 499 /2004 Sb., o archivnictví a spisové službě a o změně některých zákonů, ve znění zákona č. 190/2009 Sb., zákona č. 167/2012 Sb. a zákona č. 56/2014 Sb., k provedení § 70 odst. 1 zákona č. 499/2004 Sb., ve znění zákona č. 190/2009 Sb., zákona č. 424/2010 Sb., zákona č. 167/2012 Sb. a zákona č. 298/2016 Sb.:</w:t>
      </w:r>
    </w:p>
    <w:p>
      <w:pPr>
        <w:pStyle w:val="1"/>
        <w:rPr/>
      </w:pPr>
      <w:r>
        <w:rPr/>
      </w:r>
    </w:p>
    <w:p>
      <w:pPr>
        <w:pStyle w:val="7"/>
        <w:rPr/>
      </w:pPr>
      <w:r>
        <w:rPr/>
        <w:t xml:space="preserve">ČÁST PRVNÍ </w:t>
      </w:r>
    </w:p>
    <w:p>
      <w:pPr>
        <w:pStyle w:val="8"/>
        <w:rPr/>
      </w:pPr>
      <w:r>
        <w:rPr/>
        <w:t>Změna vyhlášky o podrobnostech výkonu spisové služby</w:t>
      </w:r>
    </w:p>
    <w:p>
      <w:pPr>
        <w:pStyle w:val="9"/>
        <w:rPr/>
      </w:pPr>
      <w:r>
        <w:rPr/>
        <w:t>Čl. I</w:t>
      </w:r>
    </w:p>
    <w:p>
      <w:pPr>
        <w:pStyle w:val="10"/>
        <w:rPr/>
      </w:pPr>
      <w:r>
        <w:rPr/>
        <w:t>Vyhláška č. 259/2012 Sb., o podrobnostech výkonu spisové služby, ve znění vyhlášky č. 283/2014 Sb., vyhlášky č. 85/2019 Sb., vyhlášky č. 504/2021 Sb., vyhlášky č. 96/2023 Sb. a vyhlášky č. 200/2024 Sb., se mění takto:</w:t>
      </w:r>
    </w:p>
    <w:p>
      <w:pPr>
        <w:pStyle w:val="11"/>
        <w:rPr/>
      </w:pPr>
      <w:r>
        <w:rPr/>
        <w:t>1.   V § 8 odst. 2 se na konec věty druhé vkládají slova „; část věty před středníkem se nepoužije v případě samostatné evidence dokumentů veřejnoprávního původce, který vykonává spisovou službu v elektronické podobě v elektronickém systému spisové služby podle § 63 odst. 6 písm. b) zákona“.</w:t>
      </w:r>
    </w:p>
    <w:p>
      <w:pPr>
        <w:pStyle w:val="12"/>
        <w:rPr/>
      </w:pPr>
      <w:r>
        <w:rPr/>
        <w:t>2.   V § 12 odst. 1 se text „odst. 4“ nahrazuje textem „odst. 6 písm. a)“.</w:t>
      </w:r>
    </w:p>
    <w:p>
      <w:pPr>
        <w:pStyle w:val="12"/>
        <w:rPr/>
      </w:pPr>
      <w:r>
        <w:rPr/>
        <w:t>3.   V § 15 odst. 4 se za slovo „služby“ vkládají slova „, s výjimkou veřejnoprávního původce, který vykonává spisovou službu v elektronické podobě v elektronickém systému spisové služby podle § 63 odst. 6 zákona“.</w:t>
      </w:r>
    </w:p>
    <w:p>
      <w:pPr>
        <w:pStyle w:val="12"/>
        <w:rPr/>
      </w:pPr>
      <w:r>
        <w:rPr/>
        <w:t>4.   V § 20 odst. 5 se na konci doplňují věty „Věta druhá se nepoužije v případě seznamu sestavovaného v elektronickém systému spisové služby podle § 63 odst. 6 zákona. Veřejnoprávní původce, který vykonává spisovou službu v elektronické podobě v elektronickém systému spisové služby podle § 63 odst. 6 zákona, uspořádá seznam podle spisových znaků a uvede odděleně dokumenty a spisy se skartačním znakem „A“ a dokumenty a spisy se skartačním znakem „S“ a dále uvede údaje o dokumentu v rozsahu údajů stanovených v § 10 odst. 2 a údaje o spisu v rozsahu údajů stanovených v § 12 odst. 6.“.</w:t>
      </w:r>
    </w:p>
    <w:p>
      <w:pPr>
        <w:pStyle w:val="12"/>
        <w:rPr/>
      </w:pPr>
      <w:r>
        <w:rPr/>
        <w:t>5.   V § 21 odst. 4 se na konci textu doplňují slova „; část věty před středníkem se nepoužije v případě veřejnoprávního původce, který vykonává spisovou službu v elektronické podobě v elektronickém systému spisové služby podle § 63 odst. 6 zákona“.</w:t>
      </w:r>
    </w:p>
    <w:p>
      <w:pPr>
        <w:pStyle w:val="12"/>
        <w:rPr/>
      </w:pPr>
      <w:r>
        <w:rPr/>
        <w:t>6.   V § 21 odst. 6 se za slova „standardu nebo“ vkládají slova „, jde-li o veřejnoprávního původce, který vykonává spisovou službu v elektronické podobě v elektronickém systému spisové služby podle § 63 odst. 6 zákona, požadavkům stanoveným na jejich předání podle odstavce 2 písm. d) anebo“.</w:t>
      </w:r>
    </w:p>
    <w:p>
      <w:pPr>
        <w:pStyle w:val="13"/>
        <w:rPr/>
      </w:pPr>
      <w:r>
        <w:rPr/>
        <w:t>7.   V § 21 odst. 7 se na konec věty druhé vkládají slova „; část věty před středníkem se nepoužije v případě veřejnoprávního původce, který vykonává spisovou službu v elektronické podobě v elektronickém systému spisové služby podle § 63 odst. 6 zákona“.</w:t>
      </w:r>
    </w:p>
    <w:p>
      <w:pPr>
        <w:pStyle w:val="7"/>
        <w:rPr/>
      </w:pPr>
      <w:r>
        <w:rPr/>
        <w:t xml:space="preserve">ČÁST DRUHÁ </w:t>
      </w:r>
    </w:p>
    <w:p>
      <w:pPr>
        <w:pStyle w:val="8"/>
        <w:rPr/>
      </w:pPr>
      <w:r>
        <w:rPr/>
        <w:t>Změna vyhlášky, kterou se mění vyhláška o podrobnostech výkonu spisové služby</w:t>
      </w:r>
    </w:p>
    <w:p>
      <w:pPr>
        <w:pStyle w:val="9"/>
        <w:rPr/>
      </w:pPr>
      <w:r>
        <w:rPr/>
        <w:t>Čl. II</w:t>
      </w:r>
    </w:p>
    <w:p>
      <w:pPr>
        <w:pStyle w:val="14"/>
        <w:rPr/>
      </w:pPr>
      <w:r>
        <w:rPr/>
        <w:t>Vyhláška č. 96/2023 Sb., kterou se mění vyhláška č. 259/2012 Sb., o podrobnostech výkonu spisové služby, ve znění pozdějších předpisů, ve znění vyhlášky č. 200/2024 Sb., se mění takto:</w:t>
      </w:r>
    </w:p>
    <w:p>
      <w:pPr>
        <w:pStyle w:val="15"/>
        <w:rPr/>
      </w:pPr>
      <w:r>
        <w:rPr/>
        <w:t>V čl. II se číslo „2026“ nahrazuje číslem „2028“.</w:t>
      </w:r>
    </w:p>
    <w:p>
      <w:pPr>
        <w:pStyle w:val="7"/>
        <w:rPr/>
      </w:pPr>
      <w:r>
        <w:rPr/>
        <w:t xml:space="preserve">ČÁST TŘETÍ </w:t>
      </w:r>
    </w:p>
    <w:p>
      <w:pPr>
        <w:pStyle w:val="8"/>
        <w:rPr/>
      </w:pPr>
      <w:r>
        <w:rPr/>
        <w:t>ÚČINNOST</w:t>
      </w:r>
    </w:p>
    <w:p>
      <w:pPr>
        <w:pStyle w:val="9"/>
        <w:rPr/>
      </w:pPr>
      <w:r>
        <w:rPr/>
        <w:t>Čl. III</w:t>
      </w:r>
    </w:p>
    <w:p>
      <w:pPr>
        <w:pStyle w:val="1"/>
        <w:rPr/>
      </w:pPr>
      <w:r>
        <w:rPr/>
      </w:r>
    </w:p>
    <w:p>
      <w:pPr>
        <w:pStyle w:val="10"/>
        <w:rPr/>
      </w:pPr>
      <w:r>
        <w:rPr/>
        <w:t>Tato vyhláška nabývá účinnosti dnem následujícím po dni jejího vyhlášení.</w:t>
      </w:r>
    </w:p>
    <w:p>
      <w:pPr>
        <w:pStyle w:val="1"/>
        <w:rPr/>
      </w:pPr>
      <w:r>
        <w:rPr/>
      </w:r>
    </w:p>
    <w:sectPr>
      <w:headerReference w:type="even" r:id="rId2"/>
      <w:headerReference w:type="default" r:id="rId3"/>
      <w:type w:val="nextPage"/>
      <w:pgSz w:w="12240" w:h="15840"/>
      <w:pgMar w:left="1417" w:right="1417" w:gutter="0" w:header="400" w:top="1417" w:footer="0" w:bottom="1417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1881"/>
      <w:gridCol w:w="2821"/>
      <w:gridCol w:w="2822"/>
      <w:gridCol w:w="1882"/>
    </w:tblGrid>
    <w:tr>
      <w:trPr/>
      <w:tc>
        <w:tcPr>
          <w:tcW w:w="9406" w:type="dxa"/>
          <w:gridSpan w:val="4"/>
          <w:tcBorders/>
        </w:tcPr>
        <w:p>
          <w:pPr>
            <w:pStyle w:val="HlavickaZlutyText"/>
            <w:jc w:val="center"/>
            <w:rPr/>
          </w:pPr>
          <w:r>
            <w:rPr/>
          </w:r>
        </w:p>
      </w:tc>
    </w:tr>
    <w:tr>
      <w:trPr/>
      <w:tc>
        <w:tcPr>
          <w:tcW w:w="1881" w:type="dxa"/>
          <w:tcBorders>
            <w:bottom w:val="single" w:sz="12" w:space="0" w:color="000000"/>
          </w:tcBorders>
        </w:tcPr>
        <w:p>
          <w:pPr>
            <w:pStyle w:val="Hlavicka"/>
            <w:jc w:val="start"/>
            <w:rPr/>
          </w:pPr>
          <w:r>
            <w:rPr/>
            <w:t xml:space="preserve">strana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</w:p>
      </w:tc>
      <w:tc>
        <w:tcPr>
          <w:tcW w:w="5643" w:type="dxa"/>
          <w:gridSpan w:val="2"/>
          <w:tcBorders>
            <w:bottom w:val="single" w:sz="12" w:space="0" w:color="000000"/>
          </w:tcBorders>
        </w:tcPr>
        <w:p>
          <w:pPr>
            <w:pStyle w:val="Hlavicka"/>
            <w:jc w:val="center"/>
            <w:rPr/>
          </w:pPr>
          <w:r>
            <w:rPr/>
            <w:t>Návrh aktu</w:t>
          </w:r>
        </w:p>
      </w:tc>
      <w:tc>
        <w:tcPr>
          <w:tcW w:w="1882" w:type="dxa"/>
          <w:tcBorders>
            <w:bottom w:val="single" w:sz="12" w:space="0" w:color="000000"/>
          </w:tcBorders>
        </w:tcPr>
        <w:p>
          <w:pPr>
            <w:pStyle w:val="Hlavicka"/>
            <w:jc w:val="end"/>
            <w:rPr/>
          </w:pPr>
          <w:r>
            <w:rPr/>
          </w:r>
        </w:p>
      </w:tc>
    </w:tr>
    <w:tr>
      <w:trPr/>
      <w:tc>
        <w:tcPr>
          <w:tcW w:w="4702" w:type="dxa"/>
          <w:gridSpan w:val="2"/>
          <w:tcBorders/>
        </w:tcPr>
        <w:p>
          <w:pPr>
            <w:pStyle w:val="Hlavicka"/>
            <w:jc w:val="start"/>
            <w:rPr/>
          </w:pPr>
          <w:r>
            <w:rPr/>
            <w:t>Uzavřená verze: 2026-0278-001-TVO</w:t>
          </w:r>
        </w:p>
      </w:tc>
      <w:tc>
        <w:tcPr>
          <w:tcW w:w="4704" w:type="dxa"/>
          <w:gridSpan w:val="2"/>
          <w:tcBorders/>
        </w:tcPr>
        <w:p>
          <w:pPr>
            <w:pStyle w:val="Hlavicka"/>
            <w:jc w:val="end"/>
            <w:rPr/>
          </w:pPr>
          <w:r>
            <w:rPr/>
          </w:r>
        </w:p>
      </w:tc>
    </w:tr>
  </w:tbl>
  <w:p>
    <w:pPr>
      <w:pStyle w:val="Hlavic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1881"/>
      <w:gridCol w:w="2821"/>
      <w:gridCol w:w="2822"/>
      <w:gridCol w:w="1882"/>
    </w:tblGrid>
    <w:tr>
      <w:trPr/>
      <w:tc>
        <w:tcPr>
          <w:tcW w:w="9406" w:type="dxa"/>
          <w:gridSpan w:val="4"/>
          <w:tcBorders/>
        </w:tcPr>
        <w:p>
          <w:pPr>
            <w:pStyle w:val="HlavickaZlutyText"/>
            <w:jc w:val="center"/>
            <w:rPr/>
          </w:pPr>
          <w:r>
            <w:rPr/>
          </w:r>
        </w:p>
      </w:tc>
    </w:tr>
    <w:tr>
      <w:trPr/>
      <w:tc>
        <w:tcPr>
          <w:tcW w:w="1881" w:type="dxa"/>
          <w:tcBorders>
            <w:bottom w:val="single" w:sz="12" w:space="0" w:color="000000"/>
          </w:tcBorders>
        </w:tcPr>
        <w:p>
          <w:pPr>
            <w:pStyle w:val="Hlavicka"/>
            <w:jc w:val="start"/>
            <w:rPr/>
          </w:pPr>
          <w:r>
            <w:rPr/>
          </w:r>
        </w:p>
      </w:tc>
      <w:tc>
        <w:tcPr>
          <w:tcW w:w="5643" w:type="dxa"/>
          <w:gridSpan w:val="2"/>
          <w:tcBorders>
            <w:bottom w:val="single" w:sz="12" w:space="0" w:color="000000"/>
          </w:tcBorders>
        </w:tcPr>
        <w:p>
          <w:pPr>
            <w:pStyle w:val="Hlavicka"/>
            <w:jc w:val="center"/>
            <w:rPr/>
          </w:pPr>
          <w:r>
            <w:rPr/>
            <w:t>Návrh aktu</w:t>
          </w:r>
        </w:p>
      </w:tc>
      <w:tc>
        <w:tcPr>
          <w:tcW w:w="1882" w:type="dxa"/>
          <w:tcBorders>
            <w:bottom w:val="single" w:sz="12" w:space="0" w:color="000000"/>
          </w:tcBorders>
        </w:tcPr>
        <w:p>
          <w:pPr>
            <w:pStyle w:val="Hlavicka"/>
            <w:jc w:val="end"/>
            <w:rPr/>
          </w:pPr>
          <w:r>
            <w:rPr/>
            <w:t xml:space="preserve">strana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</w:p>
      </w:tc>
    </w:tr>
    <w:tr>
      <w:trPr/>
      <w:tc>
        <w:tcPr>
          <w:tcW w:w="4702" w:type="dxa"/>
          <w:gridSpan w:val="2"/>
          <w:tcBorders/>
        </w:tcPr>
        <w:p>
          <w:pPr>
            <w:pStyle w:val="Hlavicka"/>
            <w:jc w:val="start"/>
            <w:rPr/>
          </w:pPr>
          <w:r>
            <w:rPr/>
          </w:r>
        </w:p>
      </w:tc>
      <w:tc>
        <w:tcPr>
          <w:tcW w:w="4704" w:type="dxa"/>
          <w:gridSpan w:val="2"/>
          <w:tcBorders/>
        </w:tcPr>
        <w:p>
          <w:pPr>
            <w:pStyle w:val="Hlavicka"/>
            <w:jc w:val="end"/>
            <w:rPr/>
          </w:pPr>
          <w:r>
            <w:rPr/>
            <w:t>Uzavřená verze: 2026-0278-001-TVO</w:t>
          </w:r>
        </w:p>
      </w:tc>
    </w:tr>
  </w:tbl>
  <w:p>
    <w:pPr>
      <w:pStyle w:val="Hlavick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stylePaneFormatFilter w:val="3F01" w:allStyles="1" w:customStyles="0" w:latentStyles="0" w:stylesInUse="0" w:headingStyles="0" w:numberingStyles="0" w:tableStyles="0" w:visibleStyles="0"/>
  <w:defaultTabStop w:val="720"/>
  <w:autoHyphenation w:val="true"/>
  <w:hyphenationZone w:val="0"/>
  <w:evenAndOddHeader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s-CZ" w:eastAsia="en-US" w:bidi="ar-SA"/>
    </w:rPr>
  </w:style>
  <w:style w:type="character" w:styleId="DefaultParagraphFont" w:default="1">
    <w:name w:val="Default Paragraph Font"/>
    <w:semiHidden/>
    <w:rPr/>
  </w:style>
  <w:style w:type="paragraph" w:styleId="Nadpis">
    <w:name w:val="Nadpis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pPr>
      <w:suppressLineNumbers/>
    </w:pPr>
    <w:rPr>
      <w:rFonts w:cs="Lucida Sans"/>
    </w:rPr>
  </w:style>
  <w:style w:type="paragraph" w:styleId="Hlavicka" w:customStyle="1">
    <w:name w:val="Hlavicka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i/>
      <w:color w:val="auto"/>
      <w:kern w:val="0"/>
      <w:sz w:val="20"/>
      <w:szCs w:val="20"/>
      <w:lang w:val="cs-CZ" w:eastAsia="en-US" w:bidi="ar-SA"/>
    </w:rPr>
  </w:style>
  <w:style w:type="paragraph" w:styleId="HlavickaZlutyText" w:customStyle="1">
    <w:name w:val="HlavickaZlutyText"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i w:val="false"/>
      <w:color w:val="auto"/>
      <w:kern w:val="0"/>
      <w:sz w:val="18"/>
      <w:szCs w:val="20"/>
      <w:lang w:val="cs-CZ" w:eastAsia="en-US" w:bidi="ar-SA"/>
    </w:rPr>
  </w:style>
  <w:style w:type="paragraph" w:styleId="Variantastart" w:customStyle="1">
    <w:name w:val="Varianta_start"/>
    <w:pPr>
      <w:widowControl/>
      <w:pBdr>
        <w:top w:val="single" w:sz="8" w:space="0" w:color="800080"/>
      </w:pBdr>
      <w:bidi w:val="0"/>
      <w:spacing w:before="0" w:after="10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konec" w:customStyle="1">
    <w:name w:val="Varianta_konec"/>
    <w:pPr>
      <w:widowControl/>
      <w:pBdr>
        <w:bottom w:val="single" w:sz="8" w:space="0" w:color="800080"/>
      </w:pBdr>
      <w:bidi w:val="0"/>
      <w:spacing w:before="0" w:after="10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start" w:customStyle="1">
    <w:name w:val="Ucinnost_start"/>
    <w:pPr>
      <w:widowControl/>
      <w:pBdr>
        <w:top w:val="single" w:sz="8" w:space="0" w:color="8B0000"/>
      </w:pBdr>
      <w:bidi w:val="0"/>
      <w:spacing w:before="0" w:after="10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konec" w:customStyle="1">
    <w:name w:val="Ucinnost_konec"/>
    <w:pPr>
      <w:widowControl/>
      <w:pBdr>
        <w:bottom w:val="single" w:sz="8" w:space="0" w:color="8B0000"/>
      </w:pBdr>
      <w:bidi w:val="0"/>
      <w:spacing w:before="0" w:after="10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Celex" w:customStyle="1">
    <w:name w:val="Celex"/>
    <w:pPr>
      <w:widowControl/>
      <w:bidi w:val="0"/>
      <w:spacing w:before="120" w:after="120"/>
      <w:jc w:val="start"/>
    </w:pPr>
    <w:rPr>
      <w:rFonts w:ascii="Times New Roman" w:hAnsi="Times New Roman" w:eastAsia="Times New Roman" w:cs="Times New Roman"/>
      <w:i/>
      <w:color w:val="auto"/>
      <w:kern w:val="0"/>
      <w:sz w:val="20"/>
      <w:szCs w:val="20"/>
      <w:lang w:val="cs-CZ" w:eastAsia="en-US" w:bidi="ar-SA"/>
    </w:rPr>
  </w:style>
  <w:style w:type="paragraph" w:styleId="Pripominkystart" w:customStyle="1">
    <w:name w:val="Pripominky_start"/>
    <w:pPr>
      <w:widowControl/>
      <w:pBdr>
        <w:top w:val="single" w:sz="8" w:space="0" w:color="87CEFA"/>
      </w:pBdr>
      <w:bidi w:val="0"/>
      <w:spacing w:before="0" w:after="100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1" w:customStyle="1">
    <w:name w:val="1"/>
    <w:pPr>
      <w:widowControl/>
      <w:bidi w:val="0"/>
      <w:spacing w:before="11" w:after="0"/>
      <w:ind w:end="0"/>
      <w:jc w:val="start"/>
    </w:pPr>
    <w:rPr>
      <w:rFonts w:ascii="Times New Roman" w:hAnsi="Times New Roman" w:eastAsia="Times New Roman" w:cs="Times New Roman"/>
      <w:color w:val="auto"/>
      <w:kern w:val="0"/>
      <w:sz w:val="0"/>
      <w:szCs w:val="20"/>
      <w:lang w:val="cs-CZ" w:eastAsia="en-US" w:bidi="ar-SA"/>
    </w:rPr>
  </w:style>
  <w:style w:type="paragraph" w:styleId="2" w:customStyle="1">
    <w:name w:val="2"/>
    <w:pPr>
      <w:widowControl/>
      <w:bidi w:val="0"/>
      <w:spacing w:before="57" w:after="227"/>
      <w:ind w:end="0"/>
      <w:jc w:val="center"/>
    </w:pPr>
    <w:rPr>
      <w:rFonts w:ascii="Times New Roman" w:hAnsi="Times New Roman" w:eastAsia="Times New Roman" w:cs="Times New Roman"/>
      <w:b/>
      <w:color w:val="auto"/>
      <w:kern w:val="0"/>
      <w:sz w:val="32"/>
      <w:szCs w:val="20"/>
      <w:lang w:val="cs-CZ" w:eastAsia="en-US" w:bidi="ar-SA"/>
    </w:rPr>
  </w:style>
  <w:style w:type="paragraph" w:styleId="3" w:customStyle="1">
    <w:name w:val="3"/>
    <w:pPr>
      <w:widowControl/>
      <w:bidi w:val="0"/>
      <w:spacing w:before="0" w:after="0"/>
      <w:ind w:start="680" w:end="680"/>
      <w:jc w:val="center"/>
    </w:pPr>
    <w:rPr>
      <w:rFonts w:ascii="Times New Roman" w:hAnsi="Times New Roman" w:eastAsia="Times New Roman" w:cs="Times New Roman"/>
      <w:b/>
      <w:caps/>
      <w:color w:val="auto"/>
      <w:kern w:val="0"/>
      <w:sz w:val="32"/>
      <w:szCs w:val="20"/>
      <w:lang w:val="cs-CZ" w:eastAsia="en-US" w:bidi="ar-SA"/>
    </w:rPr>
  </w:style>
  <w:style w:type="paragraph" w:styleId="4" w:customStyle="1">
    <w:name w:val="4"/>
    <w:pPr>
      <w:widowControl/>
      <w:bidi w:val="0"/>
      <w:spacing w:before="0" w:after="170"/>
      <w:ind w:start="850" w:end="850"/>
      <w:jc w:val="center"/>
    </w:pPr>
    <w:rPr>
      <w:rFonts w:ascii="Times New Roman" w:hAnsi="Times New Roman" w:eastAsia="Times New Roman" w:cs="Times New Roman"/>
      <w:b/>
      <w:color w:val="auto"/>
      <w:kern w:val="0"/>
      <w:sz w:val="28"/>
      <w:szCs w:val="20"/>
      <w:lang w:val="cs-CZ" w:eastAsia="en-US" w:bidi="ar-SA"/>
    </w:rPr>
  </w:style>
  <w:style w:type="paragraph" w:styleId="5" w:customStyle="1">
    <w:name w:val="5"/>
    <w:pPr>
      <w:widowControl/>
      <w:bidi w:val="0"/>
      <w:spacing w:before="340" w:after="113"/>
      <w:ind w:start="850" w:end="850"/>
      <w:jc w:val="center"/>
    </w:pPr>
    <w:rPr>
      <w:rFonts w:ascii="Times New Roman" w:hAnsi="Times New Roman" w:eastAsia="Times New Roman" w:cs="Times New Roman"/>
      <w:b/>
      <w:color w:val="auto"/>
      <w:kern w:val="0"/>
      <w:sz w:val="34"/>
      <w:szCs w:val="20"/>
      <w:lang w:val="cs-CZ" w:eastAsia="en-US" w:bidi="ar-SA"/>
    </w:rPr>
  </w:style>
  <w:style w:type="paragraph" w:styleId="6" w:customStyle="1">
    <w:name w:val="6"/>
    <w:pPr>
      <w:widowControl/>
      <w:bidi w:val="0"/>
      <w:spacing w:before="283" w:after="340"/>
      <w:ind w:end="0"/>
      <w:jc w:val="start"/>
    </w:pPr>
    <w:rPr>
      <w:rFonts w:ascii="Times New Roman" w:hAnsi="Times New Roman" w:eastAsia="Times New Roman" w:cs="Times New Roman"/>
      <w:color w:val="auto"/>
      <w:kern w:val="0"/>
      <w:sz w:val="30"/>
      <w:szCs w:val="20"/>
      <w:lang w:val="cs-CZ" w:eastAsia="en-US" w:bidi="ar-SA"/>
    </w:rPr>
  </w:style>
  <w:style w:type="paragraph" w:styleId="7" w:customStyle="1">
    <w:name w:val="7"/>
    <w:pPr>
      <w:widowControl/>
      <w:overflowPunct w:val="false"/>
      <w:bidi w:val="0"/>
      <w:spacing w:before="510" w:after="57"/>
      <w:ind w:hanging="0" w:start="850" w:end="850"/>
      <w:jc w:val="center"/>
    </w:pPr>
    <w:rPr>
      <w:rFonts w:ascii="Times New Roman" w:hAnsi="Times New Roman" w:eastAsia="Times New Roman" w:cs="Times New Roman"/>
      <w:b/>
      <w:caps/>
      <w:color w:val="auto"/>
      <w:kern w:val="0"/>
      <w:sz w:val="32"/>
      <w:szCs w:val="20"/>
      <w:lang w:val="cs-CZ" w:eastAsia="en-US" w:bidi="ar-SA"/>
    </w:rPr>
  </w:style>
  <w:style w:type="paragraph" w:styleId="8" w:customStyle="1">
    <w:name w:val="8"/>
    <w:pPr>
      <w:widowControl/>
      <w:bidi w:val="0"/>
      <w:spacing w:before="57" w:after="170"/>
      <w:ind w:start="850" w:end="850"/>
      <w:jc w:val="center"/>
    </w:pPr>
    <w:rPr>
      <w:rFonts w:ascii="Times New Roman" w:hAnsi="Times New Roman" w:eastAsia="Times New Roman" w:cs="Times New Roman"/>
      <w:b/>
      <w:color w:val="auto"/>
      <w:kern w:val="0"/>
      <w:sz w:val="26"/>
      <w:szCs w:val="20"/>
      <w:lang w:val="cs-CZ" w:eastAsia="en-US" w:bidi="ar-SA"/>
    </w:rPr>
  </w:style>
  <w:style w:type="paragraph" w:styleId="9" w:customStyle="1">
    <w:name w:val="9"/>
    <w:pPr>
      <w:widowControl/>
      <w:overflowPunct w:val="false"/>
      <w:bidi w:val="0"/>
      <w:spacing w:before="227" w:after="113"/>
      <w:ind w:hanging="0" w:start="0" w:end="0"/>
      <w:jc w:val="center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cs-CZ" w:eastAsia="en-US" w:bidi="ar-SA"/>
    </w:rPr>
  </w:style>
  <w:style w:type="paragraph" w:styleId="10" w:customStyle="1">
    <w:name w:val="10"/>
    <w:pPr>
      <w:widowControl/>
      <w:bidi w:val="0"/>
      <w:spacing w:before="0" w:after="57"/>
      <w:ind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11" w:customStyle="1">
    <w:name w:val="11"/>
    <w:pPr>
      <w:widowControl/>
      <w:overflowPunct w:val="false"/>
      <w:bidi w:val="0"/>
      <w:spacing w:before="0" w:after="28"/>
      <w:ind w:hanging="340" w:start="340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Varianta11start" w:customStyle="1">
    <w:name w:val="Varianta_11_start"/>
    <w:pPr>
      <w:widowControl/>
      <w:pBdr>
        <w:top w:val="single" w:sz="8" w:space="0" w:color="80008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11konec" w:customStyle="1">
    <w:name w:val="Varianta_11_konec"/>
    <w:pPr>
      <w:widowControl/>
      <w:pBdr>
        <w:bottom w:val="single" w:sz="8" w:space="0" w:color="80008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11start" w:customStyle="1">
    <w:name w:val="Ucinnost_11_start"/>
    <w:pPr>
      <w:widowControl/>
      <w:pBdr>
        <w:top w:val="single" w:sz="8" w:space="0" w:color="8B000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11konec" w:customStyle="1">
    <w:name w:val="Ucinnost_11_konec"/>
    <w:pPr>
      <w:widowControl/>
      <w:pBdr>
        <w:bottom w:val="single" w:sz="8" w:space="0" w:color="8B000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Pripominky11start" w:customStyle="1">
    <w:name w:val="Pripominky_11_start"/>
    <w:pPr>
      <w:widowControl/>
      <w:pBdr>
        <w:top w:val="single" w:sz="8" w:space="0" w:color="87CEFA"/>
      </w:pBdr>
      <w:bidi w:val="0"/>
      <w:spacing w:before="0" w:after="100"/>
      <w:ind w:start="340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12" w:customStyle="1">
    <w:name w:val="12"/>
    <w:pPr>
      <w:widowControl/>
      <w:overflowPunct w:val="false"/>
      <w:bidi w:val="0"/>
      <w:spacing w:before="28" w:after="28"/>
      <w:ind w:hanging="340" w:start="340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Varianta12start" w:customStyle="1">
    <w:name w:val="Varianta_12_start"/>
    <w:pPr>
      <w:widowControl/>
      <w:pBdr>
        <w:top w:val="single" w:sz="8" w:space="0" w:color="80008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12konec" w:customStyle="1">
    <w:name w:val="Varianta_12_konec"/>
    <w:pPr>
      <w:widowControl/>
      <w:pBdr>
        <w:bottom w:val="single" w:sz="8" w:space="0" w:color="80008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12start" w:customStyle="1">
    <w:name w:val="Ucinnost_12_start"/>
    <w:pPr>
      <w:widowControl/>
      <w:pBdr>
        <w:top w:val="single" w:sz="8" w:space="0" w:color="8B000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12konec" w:customStyle="1">
    <w:name w:val="Ucinnost_12_konec"/>
    <w:pPr>
      <w:widowControl/>
      <w:pBdr>
        <w:bottom w:val="single" w:sz="8" w:space="0" w:color="8B000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Pripominky12start" w:customStyle="1">
    <w:name w:val="Pripominky_12_start"/>
    <w:pPr>
      <w:widowControl/>
      <w:pBdr>
        <w:top w:val="single" w:sz="8" w:space="0" w:color="87CEFA"/>
      </w:pBdr>
      <w:bidi w:val="0"/>
      <w:spacing w:before="0" w:after="100"/>
      <w:ind w:start="340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13" w:customStyle="1">
    <w:name w:val="13"/>
    <w:pPr>
      <w:widowControl/>
      <w:overflowPunct w:val="false"/>
      <w:bidi w:val="0"/>
      <w:spacing w:before="28" w:after="113"/>
      <w:ind w:hanging="340" w:start="340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Varianta13start" w:customStyle="1">
    <w:name w:val="Varianta_13_start"/>
    <w:pPr>
      <w:widowControl/>
      <w:pBdr>
        <w:top w:val="single" w:sz="8" w:space="0" w:color="80008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Varianta13konec" w:customStyle="1">
    <w:name w:val="Varianta_13_konec"/>
    <w:pPr>
      <w:widowControl/>
      <w:pBdr>
        <w:bottom w:val="single" w:sz="8" w:space="0" w:color="80008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00080"/>
      <w:kern w:val="0"/>
      <w:sz w:val="20"/>
      <w:szCs w:val="20"/>
      <w:lang w:val="cs-CZ" w:eastAsia="en-US" w:bidi="ar-SA"/>
    </w:rPr>
  </w:style>
  <w:style w:type="paragraph" w:styleId="Ucinnost13start" w:customStyle="1">
    <w:name w:val="Ucinnost_13_start"/>
    <w:pPr>
      <w:widowControl/>
      <w:pBdr>
        <w:top w:val="single" w:sz="8" w:space="0" w:color="8B000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Ucinnost13konec" w:customStyle="1">
    <w:name w:val="Ucinnost_13_konec"/>
    <w:pPr>
      <w:widowControl/>
      <w:pBdr>
        <w:bottom w:val="single" w:sz="8" w:space="0" w:color="8B0000"/>
      </w:pBdr>
      <w:bidi w:val="0"/>
      <w:spacing w:before="0" w:after="100"/>
      <w:ind w:start="340"/>
      <w:jc w:val="start"/>
    </w:pPr>
    <w:rPr>
      <w:rFonts w:ascii="Times New Roman" w:hAnsi="Times New Roman" w:eastAsia="Times New Roman" w:cs="Times New Roman"/>
      <w:b/>
      <w:i/>
      <w:color w:val="8B0000"/>
      <w:kern w:val="0"/>
      <w:sz w:val="20"/>
      <w:szCs w:val="20"/>
      <w:lang w:val="cs-CZ" w:eastAsia="en-US" w:bidi="ar-SA"/>
    </w:rPr>
  </w:style>
  <w:style w:type="paragraph" w:styleId="Pripominky13start" w:customStyle="1">
    <w:name w:val="Pripominky_13_start"/>
    <w:pPr>
      <w:widowControl/>
      <w:pBdr>
        <w:top w:val="single" w:sz="8" w:space="0" w:color="87CEFA"/>
      </w:pBdr>
      <w:bidi w:val="0"/>
      <w:spacing w:before="0" w:after="100"/>
      <w:ind w:start="340"/>
      <w:jc w:val="end"/>
    </w:pPr>
    <w:rPr>
      <w:rFonts w:ascii="Times New Roman" w:hAnsi="Times New Roman" w:eastAsia="Times New Roman" w:cs="Times New Roman"/>
      <w:b/>
      <w:i/>
      <w:color w:val="87CEFA"/>
      <w:kern w:val="0"/>
      <w:sz w:val="20"/>
      <w:szCs w:val="20"/>
      <w:lang w:val="cs-CZ" w:eastAsia="en-US" w:bidi="ar-SA"/>
    </w:rPr>
  </w:style>
  <w:style w:type="paragraph" w:styleId="14" w:customStyle="1">
    <w:name w:val="14"/>
    <w:pPr>
      <w:widowControl/>
      <w:bidi w:val="0"/>
      <w:spacing w:before="0" w:after="113"/>
      <w:ind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15" w:customStyle="1">
    <w:name w:val="15"/>
    <w:pPr>
      <w:widowControl/>
      <w:bidi w:val="0"/>
      <w:spacing w:before="113" w:after="57"/>
      <w:ind w:start="0" w:end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cs-CZ" w:eastAsia="en-US" w:bidi="ar-SA"/>
    </w:rPr>
  </w:style>
  <w:style w:type="paragraph" w:styleId="Zhlavazpat">
    <w:name w:val="Záhlaví a zápatí"/>
    <w:basedOn w:val="Normal"/>
    <w:pPr/>
    <w:rPr/>
  </w:style>
  <w:style w:type="paragraph" w:styleId="Header">
    <w:name w:val="header"/>
    <w:basedOn w:val="Zhlavazpat"/>
    <w:pPr/>
    <w:rPr/>
  </w:style>
  <w:style w:type="numbering" w:styleId="Bezseznamu" w:default="1">
    <w:name w:val="Bez seznamu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Application>LibreOffice/26.8.1.1$Windows_X86_64 LibreOffice_project/bf6ef2662401c7d6dce671ab4deb26ee0af3a7c1</Application>
  <AppVersion>15.0000</AppVersion>
  <Pages>2</Pages>
  <Words>564</Words>
  <Characters>2850</Characters>
  <CharactersWithSpaces>3401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e-Legislativa</dc:creator>
  <dc:description/>
  <dc:language>en-GB</dc:language>
  <cp:lastModifiedBy/>
  <cp:revision>1</cp:revision>
  <dc:subject/>
  <dc:title>2026-0278-001-TVO-1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relationId">
    <vt:lpwstr>f01498f3-8bc2-4e10-bb1d-972f6753c90e:1279</vt:lpwstr>
  </property>
  <property fmtid="{D5CDD505-2E9C-101B-9397-08002B2CF9AE}" pid="3" name="IdPodprostoru">
    <vt:lpwstr>244175</vt:lpwstr>
  </property>
  <property fmtid="{D5CDD505-2E9C-101B-9397-08002B2CF9AE}" pid="4" name="JeUzavrena">
    <vt:lpwstr>True</vt:lpwstr>
  </property>
  <property fmtid="{D5CDD505-2E9C-101B-9397-08002B2CF9AE}" pid="5" name="PozadavekId">
    <vt:lpwstr>6296f0b6-bd34-4c21-a372-f35af9093537</vt:lpwstr>
  </property>
  <property fmtid="{D5CDD505-2E9C-101B-9397-08002B2CF9AE}" pid="6" name="Verze aplikace">
    <vt:lpwstr>v1.0-07.36.HF4</vt:lpwstr>
  </property>
  <property fmtid="{D5CDD505-2E9C-101B-9397-08002B2CF9AE}" pid="7" name="VrstvaNavrhuId">
    <vt:lpwstr>227419</vt:lpwstr>
  </property>
  <property fmtid="{D5CDD505-2E9C-101B-9397-08002B2CF9AE}" pid="8" name="VrstvaObsahuId">
    <vt:lpwstr>105050</vt:lpwstr>
  </property>
</Properties>
</file>