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header2.xml" ContentType="application/vnd.openxmlformats-officedocument.wordprocessingml.header+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
    </w:p>
    <w:p>
      <w:pPr>
        <w:pStyle w:val="1"/>
        <w:rPr/>
      </w:pPr>
      <w:r>
        <w:rPr/>
      </w:r>
    </w:p>
    <w:p>
      <w:pPr>
        <w:pStyle w:val="1"/>
        <w:rPr/>
      </w:pPr>
      <w:r>
        <w:rPr/>
      </w:r>
    </w:p>
    <w:p>
      <w:pPr>
        <w:pStyle w:val="2"/>
        <w:rPr/>
      </w:pPr>
      <w:r>
        <w:rPr/>
        <w:t>…</w:t>
      </w:r>
    </w:p>
    <w:p>
      <w:pPr>
        <w:pStyle w:val="3"/>
        <w:rPr/>
      </w:pPr>
      <w:r>
        <w:rPr/>
        <w:t>NAŘÍZENÍ VLÁDY</w:t>
      </w:r>
    </w:p>
    <w:p>
      <w:pPr>
        <w:pStyle w:val="4"/>
        <w:rPr/>
      </w:pPr>
      <w:r>
        <w:rPr/>
        <w:t>ze dne …</w:t>
      </w:r>
    </w:p>
    <w:p>
      <w:pPr>
        <w:pStyle w:val="5"/>
        <w:rPr/>
      </w:pPr>
      <w:r>
        <w:rPr/>
        <w:t>o platových poměrech státních zaměstnanců</w:t>
      </w:r>
    </w:p>
    <w:p>
      <w:pPr>
        <w:pStyle w:val="6"/>
        <w:rPr/>
      </w:pPr>
      <w:r>
        <w:rPr/>
        <w:t>Vláda nařizuje podle § 60 písm. b) až g) zákona č. 195/2026 Sb., o právních poměrech státních zaměstnanců v ministerstvech a jiných správních úřadech (zákon o státních zaměstnancích):</w:t>
      </w:r>
    </w:p>
    <w:p>
      <w:pPr>
        <w:pStyle w:val="1"/>
        <w:rPr/>
      </w:pPr>
      <w:r>
        <w:rPr/>
      </w:r>
    </w:p>
    <w:p>
      <w:pPr>
        <w:pStyle w:val="7"/>
        <w:rPr/>
      </w:pPr>
      <w:r>
        <w:rPr/>
        <w:t>§ 1</w:t>
      </w:r>
    </w:p>
    <w:p>
      <w:pPr>
        <w:pStyle w:val="8"/>
        <w:rPr/>
      </w:pPr>
      <w:r>
        <w:rPr/>
        <w:t>Platový tarif</w:t>
      </w:r>
    </w:p>
    <w:p>
      <w:pPr>
        <w:pStyle w:val="9"/>
        <w:rPr/>
      </w:pPr>
      <w:r>
        <w:rPr/>
        <w:t>Státnímu zaměstnanci přísluší platový tarif stanovený pro platovou třídu stanovenou pro pracovní místo, na které je zařazen, a pro platový stupeň, do kterého je zařazen.</w:t>
      </w:r>
    </w:p>
    <w:p>
      <w:pPr>
        <w:pStyle w:val="7"/>
        <w:rPr/>
      </w:pPr>
      <w:r>
        <w:rPr/>
        <w:t>§ 2</w:t>
      </w:r>
    </w:p>
    <w:p>
      <w:pPr>
        <w:pStyle w:val="8"/>
        <w:rPr/>
      </w:pPr>
      <w:r>
        <w:rPr/>
        <w:t>Stupnice platových tarifů</w:t>
      </w:r>
    </w:p>
    <w:p>
      <w:pPr>
        <w:pStyle w:val="9"/>
        <w:rPr/>
      </w:pPr>
      <w:r>
        <w:rPr/>
        <w:t>Státnímu zaměstnanci přísluší platový tarif stanovený podle stupnice platových tarifů uvedené v příloze č. 1 k tomuto nařízení.</w:t>
      </w:r>
    </w:p>
    <w:p>
      <w:pPr>
        <w:pStyle w:val="7"/>
        <w:rPr/>
      </w:pPr>
      <w:r>
        <w:rPr/>
        <w:t>§ 3</w:t>
      </w:r>
    </w:p>
    <w:p>
      <w:pPr>
        <w:pStyle w:val="8"/>
        <w:rPr/>
      </w:pPr>
      <w:r>
        <w:rPr/>
        <w:t>Zařazení pracovního místa státního zaměstnance do platové třídy</w:t>
      </w:r>
    </w:p>
    <w:p>
      <w:pPr>
        <w:pStyle w:val="10"/>
        <w:rPr/>
      </w:pPr>
      <w:r>
        <w:rPr/>
        <w:t>(1)   Správní úřad zařadí pracovní místo státního zaměstnance do platové třídy, do které je podle nařízení vlády o katalogu prací státních zaměstnanců (dále jen „katalog prací státních zaměstnanců“) zařazena nejnáročnější činnost rozhodná pro zařazení tohoto pracovního místa do platové třídy, jejíž výkon správní úřad na tomto pracovním místě požaduje.</w:t>
      </w:r>
    </w:p>
    <w:p>
      <w:pPr>
        <w:pStyle w:val="11"/>
        <w:rPr/>
      </w:pPr>
      <w:r>
        <w:rPr/>
        <w:t>(2)   Není-li tato činnost v katalogu prací státních zaměstnanců uvedena, zařadí správní úřad pracovní místo do platové třídy, ve které jsou v katalogu prací státních zaměstnanců uvedeny příklady činností s ní srovnatelných z hlediska složitosti, odpovědnosti a namáhavosti.</w:t>
      </w:r>
    </w:p>
    <w:p>
      <w:pPr>
        <w:pStyle w:val="7"/>
        <w:rPr/>
      </w:pPr>
      <w:r>
        <w:rPr/>
        <w:t>§ 4</w:t>
      </w:r>
    </w:p>
    <w:p>
      <w:pPr>
        <w:pStyle w:val="8"/>
        <w:rPr/>
      </w:pPr>
      <w:r>
        <w:rPr/>
        <w:t>Platový stupeň</w:t>
      </w:r>
    </w:p>
    <w:p>
      <w:pPr>
        <w:pStyle w:val="10"/>
        <w:rPr/>
      </w:pPr>
      <w:r>
        <w:rPr/>
        <w:t>(1)   Státní zaměstnanec se zařadí do platového stupně příslušné platové třídy podle započitatelné praxe (§ 123 odst. 4 zákoníku práce) a míry jejího zápočtu určené podle odstavců 2 až 3.</w:t>
      </w:r>
    </w:p>
    <w:p>
      <w:pPr>
        <w:pStyle w:val="11"/>
        <w:rPr/>
      </w:pPr>
      <w:r>
        <w:rPr/>
        <w:t>(2)   Státnímu zaměstnanci se započte</w:t>
      </w:r>
    </w:p>
    <w:p>
      <w:pPr>
        <w:pStyle w:val="12"/>
        <w:rPr/>
      </w:pPr>
      <w:r>
        <w:rPr/>
        <w:t>a)   v plném rozsahu doba</w:t>
      </w:r>
    </w:p>
    <w:p>
      <w:pPr>
        <w:pStyle w:val="13"/>
        <w:rPr/>
      </w:pPr>
      <w:r>
        <w:rPr/>
        <w:t>1.   výkonu služby podle zákona o státní službě,</w:t>
      </w:r>
    </w:p>
    <w:p>
      <w:pPr>
        <w:pStyle w:val="14"/>
        <w:rPr/>
      </w:pPr>
      <w:r>
        <w:rPr/>
        <w:t>2.   výkonu práce státního zaměstnance podle zákona o státních zaměstnancích a</w:t>
      </w:r>
    </w:p>
    <w:p>
      <w:pPr>
        <w:pStyle w:val="15"/>
        <w:rPr/>
      </w:pPr>
      <w:r>
        <w:rPr/>
        <w:t>3.   výkonu práce, pro kterou jsou potřebné znalosti stejného nebo obdobného zaměření jako pro práci, jež je požadována na příslušném pracovním místě,</w:t>
      </w:r>
    </w:p>
    <w:p>
      <w:pPr>
        <w:pStyle w:val="16"/>
        <w:rPr/>
      </w:pPr>
      <w:r>
        <w:rPr/>
        <w:t>b)   v rozsahu nejvýše dvou třetin doba jiné praxe, a to v závislosti na míře její využitelnosti pro výkon práce na příslušném pracovním místě,</w:t>
      </w:r>
    </w:p>
    <w:p>
      <w:pPr>
        <w:pStyle w:val="17"/>
        <w:rPr/>
      </w:pPr>
      <w:r>
        <w:rPr/>
        <w:t>c)   v plném rozsahu, nejvýše však v rozsahu stanoveném jiným právním předpisem pro výkon vojenské základní (náhradní) služby platným v době jejího výkonu, doba výkonu vojenské základní (náhradní) služby nebo civilní služby,</w:t>
      </w:r>
    </w:p>
    <w:p>
      <w:pPr>
        <w:pStyle w:val="18"/>
        <w:rPr/>
      </w:pPr>
      <w:r>
        <w:rPr/>
        <w:t>d)   v plném rozsahu doba</w:t>
      </w:r>
    </w:p>
    <w:p>
      <w:pPr>
        <w:pStyle w:val="13"/>
        <w:rPr/>
      </w:pPr>
      <w:r>
        <w:rPr/>
        <w:t>1.   skutečného čerpání mateřské dovolené, další mateřské dovolené nebo rodičovské dovolené nebo trvalé péče o dítě nebo děti nejvýše v rozsahu odpovídajícím délce mateřské dovolené a další mateřské dovolené nebo rodičovské dovolené platné v době této péče podle jiného právního předpisu a</w:t>
      </w:r>
    </w:p>
    <w:p>
      <w:pPr>
        <w:pStyle w:val="15"/>
        <w:rPr/>
      </w:pPr>
      <w:r>
        <w:rPr/>
        <w:t>2.   osobní péče o osobu závislou na pomoci jiné fyzické osoby ve stupni III (těžká závislost) nebo ve stupni IV (úplná závislost) podle § 8 a § 120 odst. 2 a 3 zákona o sociálních službách zákona o sociálních službách, je-li touto osobou nezletilé dítě nebo osoba blízká podle § 22 odst. 1 občanského zákoníku,</w:t>
      </w:r>
    </w:p>
    <w:p>
      <w:pPr>
        <w:pStyle w:val="12"/>
        <w:rPr/>
      </w:pPr>
      <w:r>
        <w:rPr/>
        <w:t>e)   v plném rozsahu, nejvýše však v celkovém rozsahu 5 let, doba řádně ukončeného studia v doktorském studijním programu podle § 47 zákona o vysokých školách.</w:t>
      </w:r>
    </w:p>
    <w:p>
      <w:pPr>
        <w:pStyle w:val="19"/>
        <w:rPr/>
      </w:pPr>
      <w:r>
        <w:rPr/>
        <w:t>Doby uvedené v písmenech c) a d) se státní zaměstnankyni nebo státnímu zaměstnanci započtou, pokud se současně nepřipravovali na povolání v denním nebo v prezenčním studiu.</w:t>
      </w:r>
    </w:p>
    <w:p>
      <w:pPr>
        <w:pStyle w:val="10"/>
        <w:rPr/>
      </w:pPr>
      <w:r>
        <w:rPr/>
        <w:t>(3)   K dobám podle odstavce 2 se státnímu zaměstnanci přičte doba 5 let, pokud podle závěrů alespoň dvou po sobě jdoucích pracovních hodnocení podle§ 70 až 72 zákona o státních zaměstnancích dosahoval při výkonu práce vynikajících výsledků. Období, za něž byla pracovní hodnocení prováděna, musí pro tento účel ve svém celku činit alespoň 2 roky.</w:t>
      </w:r>
    </w:p>
    <w:p>
      <w:pPr>
        <w:pStyle w:val="20"/>
        <w:rPr/>
      </w:pPr>
      <w:r>
        <w:rPr/>
        <w:t>(4)   Opakovat postup podle odstavce 3 lze nejdříve po uplynutí 5 let ode dne, od kterého příslušel státnímu zaměstnanci platový tarif ve vyšším platovém stupni podle odstavce 8.</w:t>
      </w:r>
    </w:p>
    <w:p>
      <w:pPr>
        <w:pStyle w:val="11"/>
        <w:rPr/>
      </w:pPr>
      <w:r>
        <w:rPr/>
        <w:t>(5)   Z dob započtených podle odstavců 2 a 3 se státnímu zaměstnanci, který nesplňuje požadavek vzdělání stanovený pro pracovní místo podle § 21 odst. 1 zákona o státních zaměstnancích, odečte</w:t>
      </w:r>
    </w:p>
    <w:p>
      <w:pPr>
        <w:pStyle w:val="16"/>
        <w:rPr/>
      </w:pPr>
      <w:r>
        <w:rPr/>
        <w:t>a)   v 6. až 9. platové třídě, pokud dosáhl jen středního vzdělání s výučním listem, doba 1 roku, nebo jen středního vzdělání, doba 2 let, nebo jen základního vzdělání anebo základů vzdělání, doba 4 let,</w:t>
      </w:r>
    </w:p>
    <w:p>
      <w:pPr>
        <w:pStyle w:val="17"/>
        <w:rPr/>
      </w:pPr>
      <w:r>
        <w:rPr/>
        <w:t>b)   v 10. platové třídě, pokud dosáhl jen středního vzdělání s maturitní zkouškou, doba 2 let, nebo jen středního vzdělání s výučním listem, doba 3 let, nebo jen středního vzdělání, doba 4 let, nebo jen základního vzdělání anebo základů vzdělání, doba 6 let,</w:t>
      </w:r>
    </w:p>
    <w:p>
      <w:pPr>
        <w:pStyle w:val="17"/>
        <w:rPr/>
      </w:pPr>
      <w:r>
        <w:rPr/>
        <w:t>c)   v 11. nebo 12. platové třídě, nebo jen středního vzdělání s maturitní zkouškou, doba 3 let, nebo jen středního vzdělání s výučním listem, doba 4 let, nebo jen středního vzdělání, doba 5 let, nebo jen základního vzdělání anebo základů vzdělání, doba 7 let,</w:t>
      </w:r>
    </w:p>
    <w:p>
      <w:pPr>
        <w:pStyle w:val="18"/>
        <w:rPr/>
      </w:pPr>
      <w:r>
        <w:rPr/>
        <w:t>d)   ve 13. až 16. platové třídě, pokud dosáhl jen vysokoškolského vzdělání v bakalářském studijním programu nebo jen vyššího odborného vzdělání, doba 2 let, nebo jen středního vzdělání s maturitní zkouškou, doba 5 let, nebo jen středního vzdělání s výučním listem, doba 6 let, nebo jen středního vzdělání, doba 7 let, nebo jen základního vzdělání anebo základů vzdělání, doba 9 let.</w:t>
      </w:r>
    </w:p>
    <w:p>
      <w:pPr>
        <w:pStyle w:val="10"/>
        <w:rPr/>
      </w:pPr>
      <w:r>
        <w:rPr/>
        <w:t>(6)   Dosáhne-li státní zaměstnanec v průběhu pracovního poměru vyššího vzdělání, než podle kterého mu byla naposledy určena započitatelná praxe, přičte se mu doba odpovídající dosaženému vzdělání, která mu byla podle odstavce 5 odečtena.</w:t>
      </w:r>
    </w:p>
    <w:p>
      <w:pPr>
        <w:pStyle w:val="20"/>
        <w:rPr/>
      </w:pPr>
      <w:r>
        <w:rPr/>
        <w:t>(7)   Platový tarif ve vyšším platovém stupni přísluší státnímu zaměstnanci od prvního dne kalendářního měsíce, ve kterém dosáhl délky započitatelné praxe stanovené pro vyšší platový stupeň.</w:t>
      </w:r>
    </w:p>
    <w:p>
      <w:pPr>
        <w:pStyle w:val="11"/>
        <w:rPr/>
      </w:pPr>
      <w:r>
        <w:rPr/>
        <w:t>(8)   Při postupu podle odstavce 3 přísluší státnímu zaměstnanci platový tarif ve vyšším platovém stupni od prvního dne druhého kalendářního měsíce následujícího po provedení pracovního hodnocení.</w:t>
      </w:r>
    </w:p>
    <w:p>
      <w:pPr>
        <w:pStyle w:val="7"/>
        <w:rPr/>
      </w:pPr>
      <w:r>
        <w:rPr/>
        <w:t>§ 5</w:t>
      </w:r>
    </w:p>
    <w:p>
      <w:pPr>
        <w:pStyle w:val="8"/>
        <w:rPr/>
      </w:pPr>
      <w:r>
        <w:rPr/>
        <w:t>Příplatek za vedení</w:t>
      </w:r>
    </w:p>
    <w:p>
      <w:pPr>
        <w:pStyle w:val="9"/>
        <w:rPr/>
      </w:pPr>
      <w:r>
        <w:rPr/>
        <w:t>Výše příplatku za vedení se v rámci příslušného rozpětí stanoveného v § 57 zákona o státních zaměstnancích určí v závislosti na počtu přímo podřízených státních zaměstnanců, vedoucích zaměstnanců a dalších zaměstnanců.</w:t>
      </w:r>
    </w:p>
    <w:p>
      <w:pPr>
        <w:pStyle w:val="7"/>
        <w:rPr/>
      </w:pPr>
      <w:r>
        <w:rPr/>
        <w:t>§ 6</w:t>
      </w:r>
    </w:p>
    <w:p>
      <w:pPr>
        <w:pStyle w:val="8"/>
        <w:rPr/>
      </w:pPr>
      <w:r>
        <w:rPr/>
        <w:t>Zvláštní příplatek</w:t>
      </w:r>
    </w:p>
    <w:p>
      <w:pPr>
        <w:pStyle w:val="10"/>
        <w:rPr/>
      </w:pPr>
      <w:r>
        <w:rPr/>
        <w:t>(1)   Zaměstnavatel určí zvláštní příplatek pro pracovní místo v rámci rozpětí stanoveného pro příslušnou skupinu činností podle podmínek výkonu práce. Rozdělení činností do skupin a pravidla pro určení konkrétní výše zvláštního příplatku v závislosti na míře neuropsychické zátěže a pravděpodobnosti rizika ohrožení života a zdraví nebo podle obtížnosti výkonu práce stanoví příloha č. 2 k tomuto nařízení.</w:t>
      </w:r>
    </w:p>
    <w:p>
      <w:pPr>
        <w:pStyle w:val="11"/>
        <w:rPr/>
      </w:pPr>
      <w:r>
        <w:rPr/>
        <w:t>(2)   Výše zvláštního příplatku činí měsíčně ve skupině</w:t>
      </w:r>
    </w:p>
    <w:p>
      <w:pPr>
        <w:pStyle w:val="16"/>
        <w:rPr/>
      </w:pPr>
      <w:r>
        <w:rPr/>
        <w:t>a)   I. 500 až 1 300 Kč,</w:t>
      </w:r>
    </w:p>
    <w:p>
      <w:pPr>
        <w:pStyle w:val="17"/>
        <w:rPr/>
      </w:pPr>
      <w:r>
        <w:rPr/>
        <w:t>b)   II. 750 až 2 500 Kč,</w:t>
      </w:r>
    </w:p>
    <w:p>
      <w:pPr>
        <w:pStyle w:val="17"/>
        <w:rPr/>
      </w:pPr>
      <w:r>
        <w:rPr/>
        <w:t>c)   III. 1 250 až 5 000 Kč,</w:t>
      </w:r>
    </w:p>
    <w:p>
      <w:pPr>
        <w:pStyle w:val="17"/>
        <w:rPr/>
      </w:pPr>
      <w:r>
        <w:rPr/>
        <w:t>d)   IV. 1 880 až 7 500 Kč,</w:t>
      </w:r>
    </w:p>
    <w:p>
      <w:pPr>
        <w:pStyle w:val="18"/>
        <w:rPr/>
      </w:pPr>
      <w:r>
        <w:rPr/>
        <w:t>e)   V. 2 500 až 10 000 Kč.</w:t>
      </w:r>
    </w:p>
    <w:p>
      <w:pPr>
        <w:pStyle w:val="21"/>
        <w:rPr/>
      </w:pPr>
      <w:r>
        <w:rPr/>
        <w:t>(3)   Pro pracovní místo se určí pouze jeden zvláštní příplatek ve skupinách I. až V., s výjimkou zvláštního příplatku za práci uvedenou ve skupině I. bodu 1 nebo ve skupině II. bodu 1 v příloze č. 2 k tomuto nařízení, a to v rámci rozpětí, které je hodnotově nejvyšší. Právo na zvláštní příplatek za práci uvedenou ve skupině I. bodu 1 nebo ve skupině II. bodu 1 v příloze č. 2 k tomuto nařízení a jeho výše se posoudí samostatně.</w:t>
      </w:r>
    </w:p>
    <w:p>
      <w:pPr>
        <w:pStyle w:val="7"/>
        <w:rPr/>
      </w:pPr>
      <w:r>
        <w:rPr/>
        <w:t>§ 7</w:t>
      </w:r>
    </w:p>
    <w:p>
      <w:pPr>
        <w:pStyle w:val="8"/>
        <w:rPr/>
      </w:pPr>
      <w:r>
        <w:rPr/>
        <w:t>Přechodná ustanovení</w:t>
      </w:r>
    </w:p>
    <w:p>
      <w:pPr>
        <w:pStyle w:val="10"/>
        <w:rPr/>
      </w:pPr>
      <w:r>
        <w:rPr/>
        <w:t>(1)   Doby přičtené státnímu zaměstnanci podle § 3 odst. 3 nařízení vlády č. 304/2014 Sb., o platových poměrech státních zaměstnanců, ve znění účinném přede dnem nabytí účinnosti tohoto nařízení, se považují za doby přičtené podle § 4 odst. 3 tohoto nařízení. Služební hodnocení provedená před 1. listopadem 2026 se pro tyto účely považují za pracovní hodnocení podle zákona č. 195/2026 Sb.</w:t>
      </w:r>
    </w:p>
    <w:p>
      <w:pPr>
        <w:pStyle w:val="20"/>
        <w:rPr/>
      </w:pPr>
      <w:r>
        <w:rPr/>
        <w:t>(2)   Do doby podle § 4 odst. 4 tohoto nařízení se započítává i doba, která přede dnem nabytí účinnosti tohoto nařízení uplynula ode dne, od kterého státnímu zaměstnanci naposledy příslušel platový tarif ve vyšším platovém stupni podle § 3 odst. 8 nařízení vlády č. 304/2014 Sb., ve znění účinném přede dnem nabytí účinnosti tohoto nařízení.</w:t>
      </w:r>
    </w:p>
    <w:p>
      <w:pPr>
        <w:pStyle w:val="20"/>
        <w:rPr/>
      </w:pPr>
      <w:r>
        <w:rPr/>
        <w:t>(3)   Státní zaměstnanec, který byl přede dnem nabytí účinnosti tohoto nařízení zařazen do vyššího platového stupně, než odpovídá délce jeho započitatelné praxe, se ke dni nabytí účinnosti tohoto nařízení v téže platové třídě zařadí do platového stupně, který odpovídá délce jeho započitatelné praxe. Došlo-li by postupem podle věty první ke snížení platového tarifu státního zaměstnance, zařadí se do nejbližšího vyššího platového stupně.</w:t>
      </w:r>
    </w:p>
    <w:p>
      <w:pPr>
        <w:pStyle w:val="11"/>
        <w:rPr/>
      </w:pPr>
      <w:r>
        <w:rPr/>
        <w:t>(4)   Do doby vydání katalogu prací státních zaměstnanců se při zařazení pracovního místa státního zaměstnance do platové třídy podle § 3 tohoto nařízení použije nařízení vlády č. 302/2014 Sb., o katalogu správních činností, ve znění účinném přede dnem nabytí účinnosti tohoto nařízení.</w:t>
      </w:r>
    </w:p>
    <w:p>
      <w:pPr>
        <w:pStyle w:val="7"/>
        <w:rPr/>
      </w:pPr>
      <w:r>
        <w:rPr/>
        <w:t>§ 8</w:t>
      </w:r>
    </w:p>
    <w:p>
      <w:pPr>
        <w:pStyle w:val="8"/>
        <w:rPr/>
      </w:pPr>
      <w:r>
        <w:rPr/>
        <w:t>Zrušovací ustanovení</w:t>
      </w:r>
    </w:p>
    <w:p>
      <w:pPr>
        <w:pStyle w:val="9"/>
        <w:rPr/>
      </w:pPr>
      <w:r>
        <w:rPr/>
        <w:t>Zrušují se:</w:t>
      </w:r>
    </w:p>
    <w:p>
      <w:pPr>
        <w:pStyle w:val="22"/>
        <w:rPr/>
      </w:pPr>
      <w:r>
        <w:rPr/>
        <w:t>a)   nařízení vlády č. 304/2014 Sb., o platových poměrech státních zaměstnanců,</w:t>
      </w:r>
    </w:p>
    <w:p>
      <w:pPr>
        <w:pStyle w:val="23"/>
        <w:rPr/>
      </w:pPr>
      <w:r>
        <w:rPr/>
        <w:t>b)   nařízení vlády č. 279/2015 Sb., kterým se mění nařízení vlády č. 304/2014 Sb., o platových poměrech státních zaměstnanců,</w:t>
      </w:r>
    </w:p>
    <w:p>
      <w:pPr>
        <w:pStyle w:val="23"/>
        <w:rPr/>
      </w:pPr>
      <w:r>
        <w:rPr/>
        <w:t>c)   nařízení vlády č. 327/2016 Sb., kterým se mění nařízení vlády č. 304/2014 Sb., o platových poměrech státních zaměstnanců, ve znění nařízení vlády č. 279/2015 Sb.,</w:t>
      </w:r>
    </w:p>
    <w:p>
      <w:pPr>
        <w:pStyle w:val="23"/>
        <w:rPr/>
      </w:pPr>
      <w:r>
        <w:rPr/>
        <w:t>d)   nařízení vlády č. 115/2017 Sb., kterým se mění nařízení vlády č. 304/2014 Sb., o platových poměrech státních zaměstnanců, ve znění pozdějších předpisů,</w:t>
      </w:r>
    </w:p>
    <w:p>
      <w:pPr>
        <w:pStyle w:val="23"/>
        <w:rPr/>
      </w:pPr>
      <w:r>
        <w:rPr/>
        <w:t>e)   nařízení vlády č. 342/2017 Sb., kterým se mění nařízení vlády č. 304/2014 Sb., o platových poměrech státních zaměstnanců, ve znění pozdějších předpisů,</w:t>
      </w:r>
    </w:p>
    <w:p>
      <w:pPr>
        <w:pStyle w:val="23"/>
        <w:rPr/>
      </w:pPr>
      <w:r>
        <w:rPr/>
        <w:t>f)   část druhá nařízení vlády č. 263/2018 Sb., kterým se mění některá nařízení vlády v oblasti odměňování zaměstnanců ve veřejných službách a správě a státních zaměstnanců,</w:t>
      </w:r>
    </w:p>
    <w:p>
      <w:pPr>
        <w:pStyle w:val="23"/>
        <w:rPr/>
      </w:pPr>
      <w:r>
        <w:rPr/>
        <w:t>g)   část druhá nařízení vlády č. 36/2019 Sb., o podrobnostech služebního hodnocení státních zaměstnanců a vazbě osobního příplatku státního zaměstnance na výsledek služebního hodnocení a o změně nařízení vlády č. 304/2014 Sb., o platových poměrech státních zaměstnanců, ve znění pozdějších předpisů,</w:t>
      </w:r>
    </w:p>
    <w:p>
      <w:pPr>
        <w:pStyle w:val="23"/>
        <w:rPr/>
      </w:pPr>
      <w:r>
        <w:rPr/>
        <w:t>h)   část druhá nařízení vlády č. 158/2019 Sb., kterým se mění některá nařízení vlády v oblasti odměňování zaměstnanců ve veřejných službách a správě a státních zaměstnanců,</w:t>
      </w:r>
    </w:p>
    <w:p>
      <w:pPr>
        <w:pStyle w:val="23"/>
        <w:rPr/>
      </w:pPr>
      <w:r>
        <w:rPr/>
        <w:t>i)   část druhá nařízení vlády č. 300/2019 Sb., kterým se mění nařízení vlády č. 341/2017 Sb., o platových poměrech zaměstnanců ve veřejných službách a správě, ve znění pozdějších předpisů, a nařízení vlády č. 304/2014 Sb., o platových poměrech státních zaměstnanců, ve znění pozdějších předpisů,</w:t>
      </w:r>
    </w:p>
    <w:p>
      <w:pPr>
        <w:pStyle w:val="23"/>
        <w:rPr/>
      </w:pPr>
      <w:r>
        <w:rPr/>
        <w:t>j)   část druhá nařízení vlády č. 603/2020 Sb., kterým se mění nařízení vlády č. 341/2017 Sb., o platových poměrech zaměstnanců ve veřejných službách a správě, ve znění pozdějších předpisů, a nařízení vlády č. 304/2014 Sb., o platových poměrech státních zaměstnanců, ve znění pozdějších předpisů,</w:t>
      </w:r>
    </w:p>
    <w:p>
      <w:pPr>
        <w:pStyle w:val="23"/>
        <w:rPr/>
      </w:pPr>
      <w:r>
        <w:rPr/>
        <w:t>k)   nařízení vlády č. 347/2021 Sb., kterým se mění nařízení vlády č. 304/2014 Sb., o platových poměrech státních zaměstnanců, ve znění pozdějších předpisů,</w:t>
      </w:r>
    </w:p>
    <w:p>
      <w:pPr>
        <w:pStyle w:val="23"/>
        <w:rPr/>
      </w:pPr>
      <w:r>
        <w:rPr/>
        <w:t>l)   část druhá nařízení vlády č. 531/2021 Sb., kterým se mění nařízení vlády č. 341/2017 Sb., o platových poměrech zaměstnanců ve veřejných službách a správě, ve znění pozdějších předpisů, nařízení vlády č. 304/2014 Sb., o platových poměrech státních zaměstnanců, ve znění pozdějších předpisů, a nařízení vlády č. 420/2021 Sb., kterým se mění nařízení vlády č. 341/2017 Sb., o platových poměrech zaměstnanců ve veřejných službách a správě, ve znění pozdějších předpisů, nařízení vlády č. 304/2014 Sb., o platových poměrech státních zaměstnanců, ve znění pozdějších předpisů, a nařízení vlády č. 347/2021 Sb., kterým se mění nařízení vlády č. 304/2014 Sb., o platových poměrech státních zaměstnanců, ve znění pozdějších předpisů,</w:t>
      </w:r>
    </w:p>
    <w:p>
      <w:pPr>
        <w:pStyle w:val="23"/>
        <w:rPr/>
      </w:pPr>
      <w:r>
        <w:rPr/>
        <w:t>m)   část druhá nařízení vlády č. 264/2022 Sb., kterým se mění nařízení vlády č. 341/2017 Sb., o platových poměrech zaměstnanců ve veřejných službách a správě, ve znění pozdějších předpisů, a nařízení vlády č. 304/2014 Sb., o platových poměrech státních zaměstnanců, ve znění pozdějších předpisů,</w:t>
      </w:r>
    </w:p>
    <w:p>
      <w:pPr>
        <w:pStyle w:val="23"/>
        <w:rPr/>
      </w:pPr>
      <w:r>
        <w:rPr/>
        <w:t>n)   část druhá nařízení vlády č. 464/2022 Sb., kterým se mění nařízení vlády č. 341/2017 Sb., o platových poměrech zaměstnanců ve veřejných službách a správě, ve znění pozdějších předpisů, a nařízení vlády č. 304/2014 Sb., o platových poměrech státních zaměstnanců, ve znění pozdějších předpisů,</w:t>
      </w:r>
    </w:p>
    <w:p>
      <w:pPr>
        <w:pStyle w:val="23"/>
        <w:rPr/>
      </w:pPr>
      <w:r>
        <w:rPr/>
        <w:t>o)   nařízení vlády č. 447/2023 Sb., kterým se mění nařízení vlády č. 304/2014 Sb., o platových poměrech státních zaměstnanců, ve znění pozdějších předpisů,</w:t>
      </w:r>
    </w:p>
    <w:p>
      <w:pPr>
        <w:pStyle w:val="23"/>
        <w:rPr/>
      </w:pPr>
      <w:r>
        <w:rPr/>
        <w:t>p)   část druhá nařízení vlády č. 466/2024 Sb., kterým se mění nařízení vlády č. 341/2017 Sb., o platových poměrech zaměstnanců ve veřejných službách a správě, ve znění pozdějších předpisů, a nařízení vlády č. 304/2014 Sb., o platových poměrech státních zaměstnanců, ve znění pozdějších předpisů,</w:t>
      </w:r>
    </w:p>
    <w:p>
      <w:pPr>
        <w:pStyle w:val="23"/>
        <w:rPr/>
      </w:pPr>
      <w:r>
        <w:rPr/>
        <w:t>q)   část první nařízení vlády č. 155/2025 Sb., kterým se mění nařízení vlády č. 304/2014 Sb., o platových poměrech státních zaměstnanců, ve znění pozdějších předpisů, a nařízení vlády č. 341/2017 Sb., o platových poměrech zaměstnanců ve veřejných službách a správě, ve znění pozdějších předpisů,</w:t>
      </w:r>
    </w:p>
    <w:p>
      <w:pPr>
        <w:pStyle w:val="24"/>
        <w:rPr/>
      </w:pPr>
      <w:r>
        <w:rPr/>
        <w:t>r)   část první nařízení vlády č. 16/2026 Sb., kterým se mění nařízení vlády č. 304/2014 Sb., o platových poměrech státních zaměstnanců, ve znění pozdějších předpisů, a nařízení vlády č. 341/2017 Sb., o platových poměrech zaměstnanců ve veřejných službách a správě, ve znění pozdějších předpisů.</w:t>
      </w:r>
    </w:p>
    <w:p>
      <w:pPr>
        <w:pStyle w:val="7"/>
        <w:rPr/>
      </w:pPr>
      <w:r>
        <w:rPr/>
        <w:t>§ 9</w:t>
      </w:r>
    </w:p>
    <w:p>
      <w:pPr>
        <w:pStyle w:val="8"/>
        <w:rPr/>
      </w:pPr>
      <w:r>
        <w:rPr/>
        <w:t>Účinnost</w:t>
      </w:r>
    </w:p>
    <w:p>
      <w:pPr>
        <w:pStyle w:val="1"/>
        <w:rPr/>
      </w:pPr>
      <w:r>
        <w:rPr/>
      </w:r>
    </w:p>
    <w:p>
      <w:pPr>
        <w:pStyle w:val="9"/>
        <w:rPr/>
      </w:pPr>
      <w:r>
        <w:rPr/>
        <w:t>Toto nařízení nabývá účinnosti dnem 1. ledna 2027.</w:t>
      </w:r>
    </w:p>
    <w:p>
      <w:pPr>
        <w:pStyle w:val="1"/>
        <w:rPr/>
      </w:pPr>
      <w:r>
        <w:rPr/>
      </w:r>
    </w:p>
    <w:p>
      <w:pPr>
        <w:pStyle w:val="25"/>
        <w:rPr/>
      </w:pPr>
      <w:r>
        <w:rPr/>
        <w:t>Předseda vlády:</w:t>
      </w:r>
    </w:p>
    <w:p>
      <w:pPr>
        <w:pStyle w:val="26"/>
        <w:rPr/>
      </w:pPr>
      <w:r>
        <w:rPr/>
        <w:t>Ing. Babiš</w:t>
      </w:r>
    </w:p>
    <w:p>
      <w:pPr>
        <w:pStyle w:val="25"/>
        <w:rPr/>
      </w:pPr>
      <w:r>
        <w:rPr/>
        <w:t>Ministr práce a sociálních věcí:</w:t>
      </w:r>
    </w:p>
    <w:p>
      <w:pPr>
        <w:pStyle w:val="26"/>
        <w:rPr/>
      </w:pPr>
      <w:r>
        <w:rPr/>
        <w:t>Ing. Juchelka</w:t>
      </w:r>
    </w:p>
    <w:p>
      <w:pPr>
        <w:pStyle w:val="1"/>
        <w:rPr/>
      </w:pPr>
      <w:r>
        <w:rPr/>
      </w:r>
    </w:p>
    <w:p>
      <w:pPr>
        <w:pStyle w:val="1"/>
        <w:rPr/>
      </w:pPr>
      <w:r>
        <w:rPr/>
      </w:r>
    </w:p>
    <w:p>
      <w:pPr>
        <w:pStyle w:val="27"/>
        <w:rPr/>
      </w:pPr>
      <w:r>
        <w:rPr/>
        <w:t>Příloha</w:t>
      </w:r>
    </w:p>
    <w:p>
      <w:pPr>
        <w:pStyle w:val="28"/>
        <w:rPr/>
      </w:pPr>
      <w:r>
        <w:rPr/>
        <w:t>Příloha č. 1 k nařízení vlády č. …./2026 Sb.</w:t>
        <w:br/>
        <w:t>Stupnice platových tarifů podle platových tříd a platových stupňů pro státní zaměstnance uvedené v § 2</w:t>
      </w:r>
    </w:p>
    <w:p>
      <w:pPr>
        <w:pStyle w:val="29"/>
        <w:rPr/>
      </w:pPr>
      <w:r>
        <w:rPr/>
        <w:t>(v Kč měsíčně)</w:t>
      </w:r>
    </w:p>
    <w:tbl>
      <w:tblPr>
        <w:tblStyle w:val="PouzeNaPrvniStranezahlavi"/>
        <w:tblW w:w="9204" w:type="dxa"/>
        <w:jc w:val="start"/>
        <w:tblInd w:w="172" w:type="dxa"/>
        <w:tblLayout w:type="fixed"/>
        <w:tblCellMar>
          <w:top w:w="85" w:type="dxa"/>
          <w:start w:w="157" w:type="dxa"/>
          <w:bottom w:w="85" w:type="dxa"/>
          <w:end w:w="157" w:type="dxa"/>
        </w:tblCellMar>
        <w:tblLook w:val="05e0"/>
      </w:tblPr>
      <w:tblGrid>
        <w:gridCol w:w="944"/>
        <w:gridCol w:w="1387"/>
        <w:gridCol w:w="625"/>
        <w:gridCol w:w="625"/>
        <w:gridCol w:w="625"/>
        <w:gridCol w:w="625"/>
        <w:gridCol w:w="625"/>
        <w:gridCol w:w="625"/>
        <w:gridCol w:w="625"/>
        <w:gridCol w:w="624"/>
        <w:gridCol w:w="625"/>
        <w:gridCol w:w="625"/>
        <w:gridCol w:w="624"/>
      </w:tblGrid>
      <w:tr>
        <w:trPr>
          <w:trHeight w:val="360" w:hRule="atLeast"/>
        </w:trPr>
        <w:tc>
          <w:tcPr>
            <w:tcW w:w="944" w:type="dxa"/>
            <w:vMerge w:val="restart"/>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Platový stupeň</w:t>
            </w:r>
          </w:p>
        </w:tc>
        <w:tc>
          <w:tcPr>
            <w:tcW w:w="1387" w:type="dxa"/>
            <w:vMerge w:val="restart"/>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Počet let započitatelné praxe</w:t>
            </w:r>
          </w:p>
        </w:tc>
        <w:tc>
          <w:tcPr>
            <w:tcW w:w="6873" w:type="dxa"/>
            <w:gridSpan w:val="11"/>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Platová třída</w:t>
            </w:r>
          </w:p>
        </w:tc>
      </w:tr>
      <w:tr>
        <w:trPr>
          <w:trHeight w:val="360" w:hRule="atLeast"/>
        </w:trPr>
        <w:tc>
          <w:tcPr>
            <w:tcW w:w="944" w:type="dxa"/>
            <w:vMerge w:val="continue"/>
            <w:tcBorders>
              <w:start w:val="single" w:sz="12" w:space="0" w:color="000000"/>
              <w:bottom w:val="single" w:sz="12" w:space="0" w:color="000000"/>
              <w:end w:val="single" w:sz="12" w:space="0" w:color="000000"/>
            </w:tcBorders>
            <w:tcMar>
              <w:top w:w="15" w:type="dxa"/>
              <w:start w:w="15" w:type="dxa"/>
              <w:bottom w:w="15" w:type="dxa"/>
              <w:end w:w="15" w:type="dxa"/>
            </w:tcMar>
            <w:vAlign w:val="center"/>
          </w:tcPr>
          <w:p>
            <w:pPr>
              <w:pStyle w:val="Normal"/>
              <w:widowControl/>
              <w:overflowPunct w:val="true"/>
              <w:spacing w:before="0" w:after="0"/>
              <w:ind w:hanging="0" w:start="0"/>
              <w:jc w:val="start"/>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r>
          </w:p>
        </w:tc>
        <w:tc>
          <w:tcPr>
            <w:tcW w:w="1387" w:type="dxa"/>
            <w:vMerge w:val="continue"/>
            <w:tcBorders>
              <w:start w:val="single" w:sz="12" w:space="0" w:color="000000"/>
              <w:bottom w:val="single" w:sz="12" w:space="0" w:color="000000"/>
              <w:end w:val="single" w:sz="12" w:space="0" w:color="000000"/>
            </w:tcBorders>
            <w:tcMar>
              <w:top w:w="15" w:type="dxa"/>
              <w:start w:w="15" w:type="dxa"/>
              <w:bottom w:w="15" w:type="dxa"/>
              <w:end w:w="15" w:type="dxa"/>
            </w:tcMar>
            <w:vAlign w:val="center"/>
          </w:tcPr>
          <w:p>
            <w:pPr>
              <w:pStyle w:val="Normal"/>
              <w:widowControl/>
              <w:overflowPunct w:val="true"/>
              <w:spacing w:before="0" w:after="0"/>
              <w:ind w:hanging="0" w:start="0"/>
              <w:jc w:val="start"/>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8</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9</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11</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12</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13</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14</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15</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16</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1</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do 5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30 320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31 780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33 310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34 910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36 590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39 010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42 140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45 940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50 540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56 100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62 840</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2</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do 10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30 920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32 740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34 320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35 970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37 700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40 580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43 830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47 780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52 560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58 350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65 360</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do 15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31 550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33 730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35 350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37 050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38 830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42 210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45 590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49 700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54 670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60 690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67 980</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do 20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32 170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34 750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36 420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38 170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40 010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43 900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47 420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51 690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56 860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63 120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70 700</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do 25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32 830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35 800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37 520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39 330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41 220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45 660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49 320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53 760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59 140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65 650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73 530</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do 30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33 470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36 880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38 660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40 520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42 470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47 490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51 290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55 910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61 510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68 280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76 480</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do 35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34 160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37 990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39 820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41 740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43 750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49 390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53 350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58 160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63 980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71 020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79 550</w:t>
            </w:r>
          </w:p>
        </w:tc>
      </w:tr>
      <w:tr>
        <w:trPr>
          <w:trHeight w:val="360" w:hRule="atLeast"/>
        </w:trPr>
        <w:tc>
          <w:tcPr>
            <w:tcW w:w="94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8</w:t>
            </w:r>
          </w:p>
        </w:tc>
        <w:tc>
          <w:tcPr>
            <w:tcW w:w="1387"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nad 35 let</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34 840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39 130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41 010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42 980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45 050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51 370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55 480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60 480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66 530</w:t>
            </w:r>
          </w:p>
        </w:tc>
        <w:tc>
          <w:tcPr>
            <w:tcW w:w="625"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73 850</w:t>
            </w:r>
          </w:p>
        </w:tc>
        <w:tc>
          <w:tcPr>
            <w:tcW w:w="624" w:type="dxa"/>
            <w:tcBorders>
              <w:top w:val="single" w:sz="12" w:space="0" w:color="000000"/>
              <w:start w:val="single" w:sz="12" w:space="0" w:color="000000"/>
              <w:bottom w:val="single" w:sz="12" w:space="0" w:color="000000"/>
              <w:end w:val="single" w:sz="12" w:space="0" w:color="000000"/>
            </w:tcBorders>
            <w:vAlign w:val="center"/>
          </w:tcPr>
          <w:p>
            <w:pPr>
              <w:pStyle w:val="30"/>
              <w:widowControl/>
              <w:overflowPunct w:val="true"/>
              <w:spacing w:before="113" w:after="57"/>
              <w:ind w:hanging="0" w:start="0" w:end="0"/>
              <w:jc w:val="center"/>
              <w:rPr>
                <w:rFonts w:ascii="Times New Roman" w:hAnsi="Times New Roman" w:eastAsia="Times New Roman" w:cs="Times New Roman"/>
                <w:b/>
                <w:bCs/>
                <w:sz w:val="20"/>
                <w:szCs w:val="20"/>
              </w:rPr>
            </w:pPr>
            <w:r>
              <w:rPr>
                <w:rFonts w:eastAsia="Times New Roman" w:cs="Times New Roman"/>
                <w:b/>
                <w:bCs/>
                <w:kern w:val="0"/>
                <w:sz w:val="20"/>
                <w:szCs w:val="20"/>
                <w:lang w:val="cs-CZ" w:eastAsia="en-US" w:bidi="ar-SA"/>
              </w:rPr>
              <w:t>82 720</w:t>
            </w:r>
          </w:p>
        </w:tc>
      </w:tr>
    </w:tbl>
    <w:p>
      <w:pPr>
        <w:pStyle w:val="30"/>
        <w:rPr/>
      </w:pPr>
      <w:r>
        <w:rPr/>
      </w:r>
    </w:p>
    <w:p>
      <w:pPr>
        <w:pStyle w:val="28"/>
        <w:rPr/>
      </w:pPr>
      <w:r>
        <w:rPr/>
        <w:t>Příloha č. 2 k nařízení vlády č....../2026 Sb.</w:t>
      </w:r>
    </w:p>
    <w:p>
      <w:pPr>
        <w:pStyle w:val="31"/>
        <w:rPr/>
      </w:pPr>
      <w:r>
        <w:rPr>
          <w:b/>
          <w:bCs/>
        </w:rPr>
        <w:t>Rozdělení činností do skupin a pravidla pro určení konkrétní výše zvláštního příplatku</w:t>
      </w:r>
    </w:p>
    <w:p>
      <w:pPr>
        <w:pStyle w:val="29"/>
        <w:rPr/>
      </w:pPr>
      <w:r>
        <w:rPr>
          <w:b/>
          <w:bCs/>
        </w:rPr>
        <w:t>I. skupina – Práce se zvýšenou mírou neuropsychické zátěže nebo jiným možným rizikem ohrožení zdraví nebo života</w:t>
      </w:r>
    </w:p>
    <w:p>
      <w:pPr>
        <w:pStyle w:val="32"/>
        <w:rPr/>
      </w:pPr>
      <w:r>
        <w:rPr/>
        <w:t>1. Práce vykonávaná střídavě ve dvousměnném provozním režimu.</w:t>
      </w:r>
    </w:p>
    <w:p>
      <w:pPr>
        <w:pStyle w:val="32"/>
        <w:rPr/>
      </w:pPr>
      <w:r>
        <w:rPr/>
        <w:t>Výši zvláštního příplatku stanoví zaměstnavatel podle četnosti střídání provozních režimů, jejich náročnosti a obtížnosti spočívající v rozsahu výkonu práce v noční době, v sobotu, v neděli a ve svátek, v míře zátěže na lidský organismus způsobené změnou přirozeného biorytmu a v míře omezení osobního života.</w:t>
      </w:r>
    </w:p>
    <w:p>
      <w:pPr>
        <w:pStyle w:val="32"/>
        <w:rPr/>
      </w:pPr>
      <w:r>
        <w:rPr/>
        <w:t>2. Činnosti vyžadující individuální přístup k jednotlivým případům, popřípadě rozhodování při volbě z více variantních řešení, spočívající v soustavném přímém osobním styku s občany v krizových sociálních situacích, při nichž dochází k ohrožení života, zdraví, základních životních potřeb (výživy, ošacení, ubytování), popřípadě vývoje nezletilých dětí.</w:t>
      </w:r>
    </w:p>
    <w:p>
      <w:pPr>
        <w:pStyle w:val="32"/>
        <w:rPr/>
      </w:pPr>
      <w:r>
        <w:rPr/>
        <w:t>Výši zvláštního příplatku stanoví zaměstnavatel podle neuropsychické zátěže dané zvýšenou pravděpodobností vzniku a řešení konfliktních nebo emocionálně vypjatých situací, s omezenými časovými a prostorovými dispozicemi, výkonem práce mimo pracoviště v přirozeném prostředí osob nebo v jiném neznámém a rizikovém prostředí a s rizikem vyplývajícím z nepředvídatelnosti jednání osob.</w:t>
      </w:r>
    </w:p>
    <w:p>
      <w:pPr>
        <w:pStyle w:val="32"/>
        <w:rPr/>
      </w:pPr>
      <w:r>
        <w:rPr/>
        <w:t>3. Soustavná kontrolní, revizní a vyhledávací činnost spojená s ochranou a zajišťováním veřejných zájmů a vykonávaná mimo sídlo úřadu a jeho organizačních útvarů, s výjimkou těchto činností vykonávaných u právnických osob, jichž je správní úřad zakladatel nebo zřizovatel, nebo které podle zvláštního právního předpisu odborně řídí.</w:t>
      </w:r>
    </w:p>
    <w:p>
      <w:pPr>
        <w:pStyle w:val="32"/>
        <w:rPr/>
      </w:pPr>
      <w:r>
        <w:rPr/>
        <w:t>Výši zvláštního příplatku stanoví zaměstnavatel podle míry negativity vnímání činnosti, snížené předvídatelnosti jednání, četnosti činností a různorodosti podmínek výkonu práce a míře pravděpodobnosti vzniku a nutnosti řešení konfliktních situací.</w:t>
      </w:r>
    </w:p>
    <w:p>
      <w:pPr>
        <w:pStyle w:val="32"/>
        <w:rPr/>
      </w:pPr>
      <w:r>
        <w:rPr/>
        <w:t>4. Získávání statistických údajů v rámci státní statistické služby o výši a struktuře platů a výdajů, o zaměstnání, sociální úrovni a životních podmínkách přímo u občanů mimo sídlo úřadu.</w:t>
      </w:r>
    </w:p>
    <w:p>
      <w:pPr>
        <w:pStyle w:val="32"/>
        <w:rPr/>
      </w:pPr>
      <w:r>
        <w:rPr/>
        <w:t>Výši zvláštního příplatku stanoví zaměstnavatel podle četnosti statistického zjišťování, druhu a citlivosti zjišťovaných údajů, různorodosti podmínek statistického zjišťování a míry negativity vnímání zjišťování.</w:t>
      </w:r>
    </w:p>
    <w:p>
      <w:pPr>
        <w:pStyle w:val="32"/>
        <w:rPr/>
      </w:pPr>
      <w:r>
        <w:rPr/>
        <w:t>5. Výkon revizní, kontrolní a vyhledávací činnosti v souvislosti s ověřováním správnosti údajů u plátců daní a poplatků, pojistného na sociální a zdravotní pojištění a příspěvku na státní politiku zaměstnanosti.</w:t>
      </w:r>
    </w:p>
    <w:p>
      <w:pPr>
        <w:pStyle w:val="32"/>
        <w:rPr/>
      </w:pPr>
      <w:r>
        <w:rPr/>
        <w:t>Výši zvláštního příplatku stanoví zaměstnavatel podle míry negativity vnímání činnosti, různorodosti podmínek výkonu práce, pravděpodobnosti vzniku a řešení konfliktních situací.</w:t>
      </w:r>
    </w:p>
    <w:p>
      <w:pPr>
        <w:pStyle w:val="32"/>
        <w:rPr/>
      </w:pPr>
      <w:r>
        <w:rPr/>
        <w:t>6. Výkon práce spočívající ve fotogrammetrickém vyhodnocování a překreslování map.</w:t>
      </w:r>
    </w:p>
    <w:p>
      <w:pPr>
        <w:pStyle w:val="32"/>
        <w:rPr/>
      </w:pPr>
      <w:r>
        <w:rPr/>
        <w:t>Výši zvláštního příplatku stanoví zaměstnavatel podle četnosti a intenzity zrakové zátěže spočívající v nutnosti rozlišování detailů.</w:t>
      </w:r>
    </w:p>
    <w:p>
      <w:pPr>
        <w:pStyle w:val="32"/>
        <w:rPr/>
      </w:pPr>
      <w:r>
        <w:rPr/>
        <w:t>7. Výkon práce v ústředních správních úřadech spojený podle zvláštních právních předpisů s obranou a bezpečností státu, spočívající v trvalé průběžné přípravě na plnění úkolů spojených s přechodem státu z mírového stavu do stavu ohrožení, nebo se zajišťováním krizového řízení.</w:t>
      </w:r>
    </w:p>
    <w:p>
      <w:pPr>
        <w:pStyle w:val="32"/>
        <w:rPr/>
      </w:pPr>
      <w:r>
        <w:rPr/>
        <w:t>Výši zvláštního příplatku stanoví zaměstnavatel podle míry podílu na řešených úkolech, charakteru informací využívaných při výkonu práce a míře odpovědnosti za rozhodnutí a jejich důsledky.</w:t>
      </w:r>
    </w:p>
    <w:p>
      <w:pPr>
        <w:pStyle w:val="32"/>
        <w:rPr/>
      </w:pPr>
      <w:r>
        <w:rPr/>
        <w:t>8. Činnosti vyžadující individuální přístup k jednotlivým případům, popřípadě rozhodování při volbě z více variantních řešení, spočívající v soustavném přímém osobním styku s občany při výkonu posudkové služby.</w:t>
      </w:r>
    </w:p>
    <w:p>
      <w:pPr>
        <w:pStyle w:val="32"/>
        <w:rPr/>
      </w:pPr>
      <w:r>
        <w:rPr/>
        <w:t>Výši zvláštního příplatku stanoví zaměstnavatel podle neuropsychické zátěže dané zvýšenou pravděpodobností vzniku a řešení konfliktních nebo emocionálně vypjatých situací, s omezenými časovými a prostorovými dispozicemi, výkonem práce mimo pracoviště v přirozeném prostředí osob nebo v jiném neznámém a rizikovém prostředí a s rizikem vyplývajícím z nepředvídatelnosti jednání osob.</w:t>
      </w:r>
    </w:p>
    <w:p>
      <w:pPr>
        <w:pStyle w:val="32"/>
        <w:rPr/>
      </w:pPr>
      <w:r>
        <w:rPr/>
        <w:t>9. Činnosti vyžadující individuální přístup k jednotlivým případům spočívající v soustavném přímém styku s občany</w:t>
      </w:r>
    </w:p>
    <w:p>
      <w:pPr>
        <w:pStyle w:val="32"/>
        <w:rPr/>
      </w:pPr>
      <w:r>
        <w:rPr/>
        <w:t>9.1. při sepisování žádosti o invalidní nebo pozůstalostní důchod,</w:t>
      </w:r>
    </w:p>
    <w:p>
      <w:pPr>
        <w:pStyle w:val="32"/>
        <w:rPr/>
      </w:pPr>
      <w:r>
        <w:rPr/>
        <w:t>9.2. v souvislosti s posuzováním a uplatňováním nároků na dávky důchodového nebo nemocenského pojištění.</w:t>
      </w:r>
    </w:p>
    <w:p>
      <w:pPr>
        <w:pStyle w:val="32"/>
        <w:rPr/>
      </w:pPr>
      <w:r>
        <w:rPr/>
        <w:t>Výši zvláštního příplatku stanoví zaměstnavatel podle neuropsychické zátěže dané zvýšenou pravděpodobností vzniku a řešení konfliktních nebo emocionálně vypjatých situací a podle rizik vyplývajících z nepředvídatelnosti jednání osob.</w:t>
      </w:r>
    </w:p>
    <w:p>
      <w:pPr>
        <w:pStyle w:val="32"/>
        <w:rPr/>
      </w:pPr>
      <w:r>
        <w:rPr>
          <w:b/>
          <w:bCs/>
        </w:rPr>
        <w:t>II. skupina – Práce se značnou mírou neuropsychické zátěže nebo jiným možným rizikem ohrožení zdraví nebo života</w:t>
      </w:r>
    </w:p>
    <w:p>
      <w:pPr>
        <w:pStyle w:val="32"/>
        <w:rPr/>
      </w:pPr>
      <w:r>
        <w:rPr/>
        <w:t>1. Práce vykonávaná střídavě ve vícesměnném nebo nepřetržitém provozním režimu.</w:t>
      </w:r>
    </w:p>
    <w:p>
      <w:pPr>
        <w:pStyle w:val="32"/>
        <w:rPr/>
      </w:pPr>
      <w:r>
        <w:rPr/>
        <w:t>Výši zvláštního příplatku stanoví zaměstnavatel podle četnosti střídání provozních režimů, jejich náročnosti a obtížnosti spočívající v rozsahu výkonu práce v noční době, v sobotu, v neděli a ve svátek, v míře zátěže na lidský organismus způsobené změnou přirozeného biorytmu a v míře omezení osobního života.</w:t>
      </w:r>
    </w:p>
    <w:p>
      <w:pPr>
        <w:pStyle w:val="32"/>
        <w:rPr/>
      </w:pPr>
      <w:r>
        <w:rPr/>
        <w:t>2. Výkon práce spojený s kontaktem se zadrženými, obviněnými, obžalovanými nebo odsouzenými osobami.</w:t>
      </w:r>
    </w:p>
    <w:p>
      <w:pPr>
        <w:pStyle w:val="32"/>
        <w:rPr/>
      </w:pPr>
      <w:r>
        <w:rPr/>
        <w:t>Výši zvláštního příplatku stanoví zaměstnavatel podle četnosti kontaktu, pravděpodobnosti vzniku a nutnosti řešení konfliktních nebo krizových situací a rizikového chování.</w:t>
      </w:r>
    </w:p>
    <w:p>
      <w:pPr>
        <w:pStyle w:val="32"/>
        <w:rPr/>
      </w:pPr>
      <w:r>
        <w:rPr/>
        <w:t>3. Plnění zvláštních úkolů pro přípravu a zajišťování obrany a bezpečnosti státu v ústředních správních úřadech nebo ve správních úřadech v působnosti Ministerstva obrany spojených podle zvláštních právních předpisů s obranou a bezpečností státu.</w:t>
      </w:r>
    </w:p>
    <w:p>
      <w:pPr>
        <w:pStyle w:val="32"/>
        <w:rPr/>
      </w:pPr>
      <w:r>
        <w:rPr/>
        <w:t>Výši zvláštního příplatku stanoví zaměstnavatel podle druhu a rozsahu ohrožení a předpokládané závažnosti negativního dopadu na obyvatelstvo, podle míry odpovědnosti za rozhodnutí a jejich důsledky.</w:t>
      </w:r>
    </w:p>
    <w:p>
      <w:pPr>
        <w:pStyle w:val="32"/>
        <w:rPr/>
      </w:pPr>
      <w:r>
        <w:rPr/>
        <w:t>4. Vyřizování žádostí o povolení k trvalému pobytu nebo o poskytnutí mezinárodní ochrany spojené s přímým každodenním osobním stykem s cizinci.</w:t>
      </w:r>
    </w:p>
    <w:p>
      <w:pPr>
        <w:pStyle w:val="32"/>
        <w:rPr/>
      </w:pPr>
      <w:r>
        <w:rPr/>
        <w:t>Výši zvláštního příplatku stanoví zaměstnavatel podle intenzity a pravděpodobnosti vzniku obtížných a konfliktních situací a zvládání nepřátelských postojů.</w:t>
      </w:r>
    </w:p>
    <w:p>
      <w:pPr>
        <w:pStyle w:val="32"/>
        <w:rPr/>
      </w:pPr>
      <w:r>
        <w:rPr/>
        <w:t>5. Soustavný výkon kontroly a dozoru na pozemních komunikacích nebo státního odborného dozoru v silniční dopravě při nepřerušeném silničním provozu.</w:t>
      </w:r>
    </w:p>
    <w:p>
      <w:pPr>
        <w:pStyle w:val="32"/>
        <w:rPr/>
      </w:pPr>
      <w:r>
        <w:rPr/>
        <w:t>Výši zvláštního příplatku stanoví zaměstnavatel podle intenzity a nebezpečnosti provozu na pozemních komunikacích.</w:t>
      </w:r>
    </w:p>
    <w:p>
      <w:pPr>
        <w:pStyle w:val="32"/>
        <w:rPr/>
      </w:pPr>
      <w:r>
        <w:rPr/>
        <w:t>6. Kontakt s cizinci umístěnými v zařízeních pro zajištění cizinců nebo se žadateli o udělení mezinárodní ochrany ubytovanými v azylových zařízeních.</w:t>
      </w:r>
    </w:p>
    <w:p>
      <w:pPr>
        <w:pStyle w:val="32"/>
        <w:rPr/>
      </w:pPr>
      <w:r>
        <w:rPr/>
        <w:t>Výši zvláštního příplatku stanoví zaměstnavatel podle pravděpodobnosti vzniku konfliktních situací a míry nutnosti zvládání nepřátelských postojů.</w:t>
      </w:r>
    </w:p>
    <w:p>
      <w:pPr>
        <w:pStyle w:val="32"/>
        <w:rPr/>
      </w:pPr>
      <w:r>
        <w:rPr/>
        <w:t>7. Provádění státního zdravotního dozoru v rámci hygienické služby spojeného s ochranou a zajišťováním veřejných zájmů a vykonávaného mimo sídlo úřadu.</w:t>
      </w:r>
    </w:p>
    <w:p>
      <w:pPr>
        <w:pStyle w:val="32"/>
        <w:rPr/>
      </w:pPr>
      <w:r>
        <w:rPr/>
        <w:t>Výši zvláštního příplatku stanoví zaměstnavatel podle nepříjemnosti a kontroverznosti provádění zdravotního dozoru, různorodosti podmínek výkonu práce a pravděpodobnosti vystavení účinkům ztěžujících vlivů, které nelze předem předpokládat.</w:t>
      </w:r>
    </w:p>
    <w:p>
      <w:pPr>
        <w:pStyle w:val="32"/>
        <w:rPr/>
      </w:pPr>
      <w:r>
        <w:rPr/>
        <w:t>8. Činnosti vyžadující individuální přístup k jednotlivým případům, popřípadě rozhodování při volbě z více variantních řešení, vykonávané v omezených časových nebo prostorových podmínkách spočívající v soustavném přímém</w:t>
      </w:r>
    </w:p>
    <w:p>
      <w:pPr>
        <w:pStyle w:val="32"/>
        <w:rPr/>
      </w:pPr>
      <w:r>
        <w:rPr/>
        <w:t>8.1. osobním styku s osobami v krizových sociálních situacích při provádění cíleného sociálního nebo místního šetření v souvislosti s řízením o nepojistných sociálních dávkách,</w:t>
      </w:r>
    </w:p>
    <w:p>
      <w:pPr>
        <w:pStyle w:val="32"/>
        <w:rPr/>
      </w:pPr>
      <w:r>
        <w:rPr/>
        <w:t>8.2. styku s uchazeči o zaměstnání při zprostředkování práce,</w:t>
      </w:r>
    </w:p>
    <w:p>
      <w:pPr>
        <w:pStyle w:val="32"/>
        <w:rPr/>
      </w:pPr>
      <w:r>
        <w:rPr/>
        <w:t>8.3. styku s osobami v mimořádně tíživé nebo neočekávané sociální situaci nárokujícími nepojistné sociální dávky.</w:t>
      </w:r>
    </w:p>
    <w:p>
      <w:pPr>
        <w:pStyle w:val="32"/>
        <w:rPr/>
      </w:pPr>
      <w:r>
        <w:rPr/>
        <w:t>Výši zvláštního příplatku stanoví zaměstnavatel podle pravděpodobnosti vzniku a řešení konfliktních nebo emociálně vypjatých situací, podle míry nutnosti zvládání nepředvídatelného či nepřátelského jednání osob, podle míry neuropsychické zátěže nebo jiného možného rizika ohrožení zdraví nebo života způsobené výkonem práce v přirozeném prostředí osob s nepředvídatelným nebo rizikovým chováním nebo v jiném neznámém a rizikovém prostředí.</w:t>
      </w:r>
    </w:p>
    <w:p>
      <w:pPr>
        <w:pStyle w:val="32"/>
        <w:rPr/>
      </w:pPr>
      <w:r>
        <w:rPr>
          <w:b/>
          <w:bCs/>
        </w:rPr>
        <w:t>III. skupina – Práce se značnou mírou neuropsychické zátěže a práce se zvýšeným rizikem ohrožení života nebo zdraví</w:t>
      </w:r>
    </w:p>
    <w:p>
      <w:pPr>
        <w:pStyle w:val="32"/>
        <w:rPr/>
      </w:pPr>
      <w:r>
        <w:rPr/>
        <w:t>1. Dozor nad hornickou činností a činností prováděnou hornickým způsobem.</w:t>
      </w:r>
    </w:p>
    <w:p>
      <w:pPr>
        <w:pStyle w:val="32"/>
        <w:rPr/>
      </w:pPr>
      <w:r>
        <w:rPr/>
        <w:t>Výši zvláštního příplatku stanoví zaměstnavatel podle míry rizika ohrožení života a zdraví dané členitostí terénu, pohybovými a prostorovými omezeními a dalších nebezpečí vyplývajících z charakteru daného prostředí, např. výbuch, výron plynu, zával, otřesy.</w:t>
      </w:r>
    </w:p>
    <w:p>
      <w:pPr>
        <w:pStyle w:val="32"/>
        <w:rPr/>
      </w:pPr>
      <w:r>
        <w:rPr/>
        <w:t>2. Výkon práce spojené s manipulací s výbušninami.</w:t>
      </w:r>
    </w:p>
    <w:p>
      <w:pPr>
        <w:pStyle w:val="32"/>
        <w:rPr/>
      </w:pPr>
      <w:r>
        <w:rPr/>
        <w:t>Výši zvláštního příplatku stanoví zaměstnavatel podle rizika ohrožení života a zdraví daného nebezpečností výbušnin, mírou předvídatelnosti a rozpoznatelnosti nebezpečí.</w:t>
      </w:r>
    </w:p>
    <w:p>
      <w:pPr>
        <w:pStyle w:val="32"/>
        <w:rPr/>
      </w:pPr>
      <w:r>
        <w:rPr/>
        <w:t>3. Výkon geodetických činností spojených s tvorbou map, vykonávaných převážně v podzemí.</w:t>
      </w:r>
    </w:p>
    <w:p>
      <w:pPr>
        <w:pStyle w:val="32"/>
        <w:rPr/>
      </w:pPr>
      <w:r>
        <w:rPr/>
        <w:t>Výši zvláštního příplatku stanoví zaměstnavatel podle neuropsychické zátěže dané intenzitou zrakové zátěže spočívající v nutnosti rozlišování detailů a rizikem ohrožení života a zdraví daného členitostí terénu, pohybovými a prostorovými omezeními.</w:t>
      </w:r>
    </w:p>
    <w:p>
      <w:pPr>
        <w:pStyle w:val="32"/>
        <w:rPr/>
      </w:pPr>
      <w:r>
        <w:rPr/>
        <w:t>4. Výkon práce spojené s ochranou života a zdraví občanů a majetku před požáry, prováděním požárních zásahů a poskytováním pomoci při živelních pohromách a jiných mimořádných událostech.</w:t>
      </w:r>
    </w:p>
    <w:p>
      <w:pPr>
        <w:pStyle w:val="32"/>
        <w:rPr/>
      </w:pPr>
      <w:r>
        <w:rPr/>
        <w:t>Výši zvláštního příplatku stanoví zaměstnavatel podle neuropsychické zátěže dané časovými omezeními a podle míry rizik ohrožení života a zdraví daných prostorovými a pohybovými dispozicemi, výskytem nebezpečných látek a sloučenin a předvídatelnosti těchto rizik.</w:t>
      </w:r>
    </w:p>
    <w:p>
      <w:pPr>
        <w:pStyle w:val="32"/>
        <w:rPr/>
      </w:pPr>
      <w:r>
        <w:rPr/>
        <w:t>5. Výkon práce spočívající v rozhodování v daňovém nebo jiném správním řízení spojené s ochranou zájmů státu nebo s ochranou a zajišťováním veřejných zájmů, pokud při nich může dojít k ohrožení života, zdraví nebo jiným závažným rizikům.</w:t>
      </w:r>
    </w:p>
    <w:p>
      <w:pPr>
        <w:pStyle w:val="32"/>
        <w:rPr/>
      </w:pPr>
      <w:r>
        <w:rPr/>
        <w:t>Výši zvláštního příplatku stanoví zaměstnavatel podle dopadů správních rozhodnutí, pravděpodobnosti vzniku obtížných a konfliktních situací, podle intenzity negativního nebo nepřátelského prostředí a pravděpodobnosti přímého ohrožení.</w:t>
      </w:r>
    </w:p>
    <w:p>
      <w:pPr>
        <w:pStyle w:val="32"/>
        <w:rPr/>
      </w:pPr>
      <w:r>
        <w:rPr/>
        <w:t>6. Soustavný výkon kontrolní, revizní, vyhledávací, zajišťovací a exekuční činnosti spojené s ochranou zájmů státu nebo s ochranou a zajišťováním veřejných zájmů, pokud může dojít k ohrožení života, zdraví nebo jiným závažným rizikům.</w:t>
      </w:r>
    </w:p>
    <w:p>
      <w:pPr>
        <w:pStyle w:val="32"/>
        <w:rPr/>
      </w:pPr>
      <w:r>
        <w:rPr/>
        <w:t>Výši zvláštního příplatku stanoví zaměstnavatel podle intenzity a pravděpodobnosti vzniku obtížných a konfliktních situací a zvládání nepřátelských postojů a podle pravděpodobnosti přímého ohrožení.</w:t>
      </w:r>
    </w:p>
    <w:p>
      <w:pPr>
        <w:pStyle w:val="32"/>
        <w:rPr/>
      </w:pPr>
      <w:r>
        <w:rPr/>
        <w:t>7. Soustavné provádění revizí a kontrol pozemních radiolokačních nebo radionavigačních zařízení anebo anténních systémů, radiolokačních, radionavigačních nebo radiokomunikačních zařízení ve výškách. Kontrola a řízení letového provozu nebo provozu vojenské letecké techniky při výcviku vojenského leteckého personálu.</w:t>
      </w:r>
    </w:p>
    <w:p>
      <w:pPr>
        <w:pStyle w:val="32"/>
        <w:rPr/>
      </w:pPr>
      <w:r>
        <w:rPr/>
        <w:t>Výši zvláštního příplatku stanoví zaměstnavatel podle intenzity a pravděpodobnosti ohrožení života a zdraví a míry neuropsychické zátěže.</w:t>
      </w:r>
    </w:p>
    <w:p>
      <w:pPr>
        <w:pStyle w:val="32"/>
        <w:rPr/>
      </w:pPr>
      <w:r>
        <w:rPr>
          <w:b/>
          <w:bCs/>
        </w:rPr>
        <w:t>IV. skupina – Práce s nejvyšší mírou neuropsychické zátěže a práce s vysokým rizikem ohrožení života nebo zdraví</w:t>
      </w:r>
    </w:p>
    <w:p>
      <w:pPr>
        <w:pStyle w:val="32"/>
        <w:rPr/>
      </w:pPr>
      <w:r>
        <w:rPr/>
        <w:t>1. Výkon dozoru při záchranných a havarijních pracích na pracovištích v podzemí v podmínkách vyžadujících použití izolačních dýchacích přístrojů.</w:t>
      </w:r>
    </w:p>
    <w:p>
      <w:pPr>
        <w:pStyle w:val="32"/>
        <w:rPr/>
      </w:pPr>
      <w:r>
        <w:rPr/>
        <w:t>Výši zvláštního příplatku stanoví zaměstnavatel podle podmínek výkonu práce, členitosti terénu, pohybové a prostorové náročnosti a na základě míry rizika ohrožení života a zdraví, např. nebezpečí výbuchu, výronu plynu, závalu a otřesů, a předpokládané závažnosti negativních důsledků.</w:t>
      </w:r>
    </w:p>
    <w:p>
      <w:pPr>
        <w:pStyle w:val="32"/>
        <w:rPr/>
      </w:pPr>
      <w:r>
        <w:rPr/>
        <w:t>2. Soustavný výkon kontrolní, revizní, vyhledávací, zajišťovací a exekuční činnosti nebo činnosti směřující proti legalizaci výnosů z trestné činnosti, výkon práce ve finančně analytickém útvaru Ministerstva financí spojené s ochranou zájmů státu nebo s ochranou a zajišťováním veřejných zájmů, pokud při nich může dojít k ohrožení života, zdraví nebo jiným závažným rizikům.</w:t>
      </w:r>
    </w:p>
    <w:p>
      <w:pPr>
        <w:pStyle w:val="32"/>
        <w:rPr/>
      </w:pPr>
      <w:r>
        <w:rPr/>
        <w:t>Výši zvláštního příplatku stanoví zaměstnavatel podle intenzity a rozsahu ohrožení zdraví a života, šíře dopadů a pravděpodobnosti vzniku rizik.</w:t>
      </w:r>
    </w:p>
    <w:p>
      <w:pPr>
        <w:pStyle w:val="32"/>
        <w:rPr/>
      </w:pPr>
      <w:r>
        <w:rPr/>
        <w:t>3. Výkon práce spočívající v činnosti potápěče nebo výsadkáře.</w:t>
      </w:r>
    </w:p>
    <w:p>
      <w:pPr>
        <w:pStyle w:val="32"/>
        <w:rPr/>
      </w:pPr>
      <w:r>
        <w:rPr/>
        <w:t>Výši zvláštního příplatku stanoví zaměstnavatel podle předvídatelnosti nebezpečí, členitosti a přehlednosti terénu, viditelnosti, rizikovosti klimatických a povětrnostních podmínek a použitého typu výstroje, např. nové, prototypové a zkušební výstroje.</w:t>
      </w:r>
    </w:p>
    <w:p>
      <w:pPr>
        <w:pStyle w:val="32"/>
        <w:rPr/>
      </w:pPr>
      <w:r>
        <w:rPr>
          <w:b/>
          <w:bCs/>
        </w:rPr>
        <w:t>V. skupina – Práce s mimořádným rizikem ohrožení života nebo zdraví</w:t>
      </w:r>
    </w:p>
    <w:p>
      <w:pPr>
        <w:pStyle w:val="32"/>
        <w:rPr/>
      </w:pPr>
      <w:r>
        <w:rPr/>
        <w:t>1. Výkon práce spočívající v činnosti výkonného letce.</w:t>
      </w:r>
    </w:p>
    <w:p>
      <w:pPr>
        <w:pStyle w:val="32"/>
        <w:rPr/>
      </w:pPr>
      <w:r>
        <w:rPr/>
        <w:t>Výši zvláštního příplatku stanoví zaměstnavatel podle podmínek a charakteru letu, např. standardní, zkušební lety, předvídatelnosti prostředí, možnosti ovlivnění rizika a odpovědnosti za let, např. velitel letadla a ostatní výkonní letci.</w:t>
      </w:r>
    </w:p>
    <w:p>
      <w:pPr>
        <w:pStyle w:val="32"/>
        <w:rPr/>
      </w:pPr>
      <w:r>
        <w:rPr/>
        <w:t>2. Soustavný výkon práce v oblastech se zvýšeným rizikem vzniku válečných konfliktů nebo s jinými riziky, pokud při nich může dojít k ohrožení života, zdraví nebo jinému závažnému ohrožení.</w:t>
      </w:r>
    </w:p>
    <w:p>
      <w:pPr>
        <w:pStyle w:val="30"/>
        <w:widowControl/>
        <w:bidi w:val="0"/>
        <w:spacing w:before="113" w:after="57"/>
        <w:ind w:end="0"/>
        <w:jc w:val="both"/>
        <w:rPr/>
      </w:pPr>
      <w:r>
        <w:rPr/>
        <w:t>Výši zvláštního příplatku stanoví zaměstnavatel podle míry rizika ohrožení života a zdraví, nutnosti zvládání nepřátelských postojů, při negativním vnímání cizí přítomnosti a míře pravděpodobnosti vzniku válečného konfliktu, případně podle jiných rizik přímého ohrožení života v ohnisku konfliktu.</w:t>
      </w:r>
    </w:p>
    <w:sectPr>
      <w:headerReference w:type="even" r:id="rId2"/>
      <w:headerReference w:type="default" r:id="rId3"/>
      <w:type w:val="nextPage"/>
      <w:pgSz w:w="12240" w:h="15840"/>
      <w:pgMar w:left="1417" w:right="1417" w:gutter="0" w:header="400" w:top="1417" w:footer="0" w:bottom="1417"/>
      <w:pgNumType w:start="1"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start"/>
      <w:tblInd w:w="0" w:type="dxa"/>
      <w:tblLayout w:type="fixed"/>
      <w:tblCellMar>
        <w:top w:w="85" w:type="dxa"/>
        <w:start w:w="157" w:type="dxa"/>
        <w:bottom w:w="85" w:type="dxa"/>
        <w:end w:w="157" w:type="dxa"/>
      </w:tblCellMar>
    </w:tblPr>
    <w:tblGrid>
      <w:gridCol w:w="1881"/>
      <w:gridCol w:w="2821"/>
      <w:gridCol w:w="2822"/>
      <w:gridCol w:w="1882"/>
    </w:tblGrid>
    <w:tr>
      <w:trPr/>
      <w:tc>
        <w:tcPr>
          <w:tcW w:w="9406" w:type="dxa"/>
          <w:gridSpan w:val="4"/>
          <w:tcBorders/>
          <w:vAlign w:val="center"/>
        </w:tcPr>
        <w:p>
          <w:pPr>
            <w:pStyle w:val="HlavickaZlutyText"/>
            <w:jc w:val="center"/>
            <w:rPr/>
          </w:pPr>
          <w:r>
            <w:rPr/>
          </w:r>
        </w:p>
      </w:tc>
    </w:tr>
    <w:tr>
      <w:trPr/>
      <w:tc>
        <w:tcPr>
          <w:tcW w:w="1881" w:type="dxa"/>
          <w:tcBorders>
            <w:bottom w:val="single" w:sz="12" w:space="0" w:color="000000"/>
          </w:tcBorders>
          <w:vAlign w:val="center"/>
        </w:tcPr>
        <w:p>
          <w:pPr>
            <w:pStyle w:val="Hlavicka"/>
            <w:jc w:val="start"/>
            <w:rPr/>
          </w:pPr>
          <w:r>
            <w:rPr/>
            <w:t xml:space="preserve">strana </w:t>
          </w:r>
          <w:r>
            <w:rPr/>
            <w:fldChar w:fldCharType="begin"/>
          </w:r>
          <w:r>
            <w:rPr/>
            <w:instrText xml:space="preserve"> PAGE </w:instrText>
          </w:r>
          <w:r>
            <w:rPr/>
            <w:fldChar w:fldCharType="separate"/>
          </w:r>
          <w:r>
            <w:rPr/>
            <w:t>10</w:t>
          </w:r>
          <w:r>
            <w:rPr/>
            <w:fldChar w:fldCharType="end"/>
          </w:r>
        </w:p>
      </w:tc>
      <w:tc>
        <w:tcPr>
          <w:tcW w:w="5643" w:type="dxa"/>
          <w:gridSpan w:val="2"/>
          <w:tcBorders>
            <w:bottom w:val="single" w:sz="12" w:space="0" w:color="000000"/>
          </w:tcBorders>
          <w:vAlign w:val="center"/>
        </w:tcPr>
        <w:p>
          <w:pPr>
            <w:pStyle w:val="Hlavicka"/>
            <w:jc w:val="center"/>
            <w:rPr/>
          </w:pPr>
          <w:r>
            <w:rPr/>
            <w:t>Návrh aktu</w:t>
          </w:r>
        </w:p>
      </w:tc>
      <w:tc>
        <w:tcPr>
          <w:tcW w:w="1882" w:type="dxa"/>
          <w:tcBorders>
            <w:bottom w:val="single" w:sz="12" w:space="0" w:color="000000"/>
          </w:tcBorders>
          <w:vAlign w:val="center"/>
        </w:tcPr>
        <w:p>
          <w:pPr>
            <w:pStyle w:val="Hlavicka"/>
            <w:jc w:val="end"/>
            <w:rPr/>
          </w:pPr>
          <w:r>
            <w:rPr/>
          </w:r>
        </w:p>
      </w:tc>
    </w:tr>
    <w:tr>
      <w:trPr/>
      <w:tc>
        <w:tcPr>
          <w:tcW w:w="4702" w:type="dxa"/>
          <w:gridSpan w:val="2"/>
          <w:tcBorders/>
          <w:vAlign w:val="center"/>
        </w:tcPr>
        <w:p>
          <w:pPr>
            <w:pStyle w:val="Hlavicka"/>
            <w:jc w:val="start"/>
            <w:rPr/>
          </w:pPr>
          <w:r>
            <w:rPr/>
            <w:t>Uzavřená verze: 2026-0311-001-TVO</w:t>
          </w:r>
        </w:p>
      </w:tc>
      <w:tc>
        <w:tcPr>
          <w:tcW w:w="4704" w:type="dxa"/>
          <w:gridSpan w:val="2"/>
          <w:tcBorders/>
          <w:vAlign w:val="center"/>
        </w:tcPr>
        <w:p>
          <w:pPr>
            <w:pStyle w:val="Hlavicka"/>
            <w:jc w:val="end"/>
            <w:rPr/>
          </w:pPr>
          <w:r>
            <w:rPr/>
          </w:r>
        </w:p>
      </w:tc>
    </w:tr>
  </w:tbl>
  <w:p>
    <w:pPr>
      <w:pStyle w:val="Hlavicka"/>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tbl>
    <w:tblPr>
      <w:tblW w:w="5000" w:type="pct"/>
      <w:jc w:val="start"/>
      <w:tblInd w:w="0" w:type="dxa"/>
      <w:tblLayout w:type="fixed"/>
      <w:tblCellMar>
        <w:top w:w="85" w:type="dxa"/>
        <w:start w:w="157" w:type="dxa"/>
        <w:bottom w:w="85" w:type="dxa"/>
        <w:end w:w="157" w:type="dxa"/>
      </w:tblCellMar>
    </w:tblPr>
    <w:tblGrid>
      <w:gridCol w:w="1881"/>
      <w:gridCol w:w="2821"/>
      <w:gridCol w:w="2822"/>
      <w:gridCol w:w="1882"/>
    </w:tblGrid>
    <w:tr>
      <w:trPr/>
      <w:tc>
        <w:tcPr>
          <w:tcW w:w="9406" w:type="dxa"/>
          <w:gridSpan w:val="4"/>
          <w:tcBorders/>
          <w:vAlign w:val="center"/>
        </w:tcPr>
        <w:p>
          <w:pPr>
            <w:pStyle w:val="HlavickaZlutyText"/>
            <w:jc w:val="center"/>
            <w:rPr/>
          </w:pPr>
          <w:r>
            <w:rPr/>
          </w:r>
        </w:p>
      </w:tc>
    </w:tr>
    <w:tr>
      <w:trPr/>
      <w:tc>
        <w:tcPr>
          <w:tcW w:w="1881" w:type="dxa"/>
          <w:tcBorders>
            <w:bottom w:val="single" w:sz="12" w:space="0" w:color="000000"/>
          </w:tcBorders>
          <w:vAlign w:val="center"/>
        </w:tcPr>
        <w:p>
          <w:pPr>
            <w:pStyle w:val="Hlavicka"/>
            <w:jc w:val="start"/>
            <w:rPr/>
          </w:pPr>
          <w:r>
            <w:rPr/>
          </w:r>
        </w:p>
      </w:tc>
      <w:tc>
        <w:tcPr>
          <w:tcW w:w="5643" w:type="dxa"/>
          <w:gridSpan w:val="2"/>
          <w:tcBorders>
            <w:bottom w:val="single" w:sz="12" w:space="0" w:color="000000"/>
          </w:tcBorders>
          <w:vAlign w:val="center"/>
        </w:tcPr>
        <w:p>
          <w:pPr>
            <w:pStyle w:val="Hlavicka"/>
            <w:jc w:val="center"/>
            <w:rPr/>
          </w:pPr>
          <w:r>
            <w:rPr/>
            <w:t>Návrh aktu</w:t>
          </w:r>
        </w:p>
      </w:tc>
      <w:tc>
        <w:tcPr>
          <w:tcW w:w="1882" w:type="dxa"/>
          <w:tcBorders>
            <w:bottom w:val="single" w:sz="12" w:space="0" w:color="000000"/>
          </w:tcBorders>
          <w:vAlign w:val="center"/>
        </w:tcPr>
        <w:p>
          <w:pPr>
            <w:pStyle w:val="Hlavicka"/>
            <w:jc w:val="end"/>
            <w:rPr/>
          </w:pPr>
          <w:r>
            <w:rPr/>
            <w:t xml:space="preserve">strana </w:t>
          </w:r>
          <w:r>
            <w:rPr/>
            <w:fldChar w:fldCharType="begin"/>
          </w:r>
          <w:r>
            <w:rPr/>
            <w:instrText xml:space="preserve"> PAGE </w:instrText>
          </w:r>
          <w:r>
            <w:rPr/>
            <w:fldChar w:fldCharType="separate"/>
          </w:r>
          <w:r>
            <w:rPr/>
            <w:t>11</w:t>
          </w:r>
          <w:r>
            <w:rPr/>
            <w:fldChar w:fldCharType="end"/>
          </w:r>
        </w:p>
      </w:tc>
    </w:tr>
    <w:tr>
      <w:trPr/>
      <w:tc>
        <w:tcPr>
          <w:tcW w:w="4702" w:type="dxa"/>
          <w:gridSpan w:val="2"/>
          <w:tcBorders/>
          <w:vAlign w:val="center"/>
        </w:tcPr>
        <w:p>
          <w:pPr>
            <w:pStyle w:val="Hlavicka"/>
            <w:jc w:val="start"/>
            <w:rPr/>
          </w:pPr>
          <w:r>
            <w:rPr/>
          </w:r>
        </w:p>
      </w:tc>
      <w:tc>
        <w:tcPr>
          <w:tcW w:w="4704" w:type="dxa"/>
          <w:gridSpan w:val="2"/>
          <w:tcBorders/>
          <w:vAlign w:val="center"/>
        </w:tcPr>
        <w:p>
          <w:pPr>
            <w:pStyle w:val="Hlavicka"/>
            <w:jc w:val="end"/>
            <w:rPr/>
          </w:pPr>
          <w:r>
            <w:rPr/>
            <w:t>Uzavřená verze: 2026-0311-001-TVO</w:t>
          </w:r>
        </w:p>
      </w:tc>
    </w:tr>
  </w:tbl>
  <w:p>
    <w:pPr>
      <w:pStyle w:val="Hlavicka"/>
      <w:rPr/>
    </w:pPr>
    <w:r>
      <w:rPr/>
    </w:r>
  </w:p>
</w:hdr>
</file>

<file path=word/settings.xml><?xml version="1.0" encoding="utf-8"?>
<w:settings xmlns:w="http://schemas.openxmlformats.org/wordprocessingml/2006/main">
  <w:zoom w:percent="100"/>
  <w:stylePaneFormatFilter w:val="3F01" w:allStyles="1" w:customStyles="0" w:latentStyles="0" w:stylesInUse="0" w:headingStyles="0" w:numberingStyles="0" w:tableStyles="0" w:visibleStyles="0"/>
  <w:defaultTabStop w:val="720"/>
  <w:autoHyphenation w:val="true"/>
  <w:hyphenationZone w:val="0"/>
  <w:evenAndOddHeader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cs-CZ" w:eastAsia="en-US" w:bidi="ar-SA"/>
      </w:rPr>
    </w:rPrDefault>
    <w:pPrDefault>
      <w:pPr>
        <w:suppressAutoHyphens w:val="true"/>
      </w:pPr>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atentStyles>
  <w:style w:type="paragraph" w:styleId="Normal" w:default="1">
    <w:name w:val="Normal"/>
    <w:qFormat/>
    <w:pPr>
      <w:widowControl/>
      <w:bidi w:val="0"/>
      <w:spacing w:before="0" w:after="0"/>
      <w:jc w:val="start"/>
    </w:pPr>
    <w:rPr>
      <w:rFonts w:ascii="Times New Roman" w:hAnsi="Times New Roman" w:eastAsia="Times New Roman" w:cs="Times New Roman"/>
      <w:color w:val="auto"/>
      <w:kern w:val="0"/>
      <w:sz w:val="24"/>
      <w:szCs w:val="24"/>
      <w:lang w:val="cs-CZ" w:eastAsia="en-US" w:bidi="ar-SA"/>
    </w:rPr>
  </w:style>
  <w:style w:type="character" w:styleId="DefaultParagraphFont" w:default="1">
    <w:name w:val="Default Paragraph Font"/>
    <w:semiHidden/>
    <w:rPr/>
  </w:style>
  <w:style w:type="paragraph" w:styleId="Nadpis">
    <w:name w:val="Nadpis"/>
    <w:basedOn w:val="Normal"/>
    <w:next w:val="BodyTex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pPr>
      <w:suppressLineNumbers/>
      <w:spacing w:before="120" w:after="120"/>
    </w:pPr>
    <w:rPr>
      <w:rFonts w:cs="Lucida Sans"/>
      <w:i/>
      <w:iCs/>
      <w:sz w:val="24"/>
      <w:szCs w:val="24"/>
    </w:rPr>
  </w:style>
  <w:style w:type="paragraph" w:styleId="Rejstk">
    <w:name w:val="Rejstřík"/>
    <w:basedOn w:val="Normal"/>
    <w:pPr>
      <w:suppressLineNumbers/>
    </w:pPr>
    <w:rPr>
      <w:rFonts w:cs="Lucida Sans"/>
    </w:rPr>
  </w:style>
  <w:style w:type="paragraph" w:styleId="Hlavicka" w:customStyle="1">
    <w:name w:val="Hlavicka"/>
    <w:pPr>
      <w:widowControl/>
      <w:bidi w:val="0"/>
      <w:spacing w:before="0" w:after="0"/>
      <w:jc w:val="start"/>
    </w:pPr>
    <w:rPr>
      <w:rFonts w:ascii="Times New Roman" w:hAnsi="Times New Roman" w:eastAsia="Times New Roman" w:cs="Times New Roman"/>
      <w:i/>
      <w:color w:val="auto"/>
      <w:kern w:val="0"/>
      <w:sz w:val="20"/>
      <w:szCs w:val="20"/>
      <w:lang w:val="cs-CZ" w:eastAsia="en-US" w:bidi="ar-SA"/>
    </w:rPr>
  </w:style>
  <w:style w:type="paragraph" w:styleId="HlavickaZlutyText" w:customStyle="1">
    <w:name w:val="HlavickaZlutyText"/>
    <w:pPr>
      <w:widowControl/>
      <w:bidi w:val="0"/>
      <w:spacing w:before="0" w:after="0"/>
      <w:jc w:val="start"/>
    </w:pPr>
    <w:rPr>
      <w:rFonts w:ascii="Times New Roman" w:hAnsi="Times New Roman" w:eastAsia="Times New Roman" w:cs="Times New Roman"/>
      <w:i w:val="false"/>
      <w:color w:val="auto"/>
      <w:kern w:val="0"/>
      <w:sz w:val="18"/>
      <w:szCs w:val="20"/>
      <w:lang w:val="cs-CZ" w:eastAsia="en-US" w:bidi="ar-SA"/>
    </w:rPr>
  </w:style>
  <w:style w:type="paragraph" w:styleId="Variantastart" w:customStyle="1">
    <w:name w:val="Varianta_start"/>
    <w:pPr>
      <w:widowControl/>
      <w:pBdr>
        <w:top w:val="single" w:sz="8" w:space="0" w:color="800080"/>
      </w:pBdr>
      <w:bidi w:val="0"/>
      <w:spacing w:before="0" w:after="100"/>
      <w:jc w:val="start"/>
    </w:pPr>
    <w:rPr>
      <w:rFonts w:ascii="Times New Roman" w:hAnsi="Times New Roman" w:eastAsia="Times New Roman" w:cs="Times New Roman"/>
      <w:b/>
      <w:i/>
      <w:color w:val="800080"/>
      <w:kern w:val="0"/>
      <w:sz w:val="20"/>
      <w:szCs w:val="20"/>
      <w:lang w:val="cs-CZ" w:eastAsia="en-US" w:bidi="ar-SA"/>
    </w:rPr>
  </w:style>
  <w:style w:type="paragraph" w:styleId="Variantakonec" w:customStyle="1">
    <w:name w:val="Varianta_konec"/>
    <w:pPr>
      <w:widowControl/>
      <w:pBdr>
        <w:bottom w:val="single" w:sz="8" w:space="0" w:color="800080"/>
      </w:pBdr>
      <w:bidi w:val="0"/>
      <w:spacing w:before="0" w:after="100"/>
      <w:jc w:val="start"/>
    </w:pPr>
    <w:rPr>
      <w:rFonts w:ascii="Times New Roman" w:hAnsi="Times New Roman" w:eastAsia="Times New Roman" w:cs="Times New Roman"/>
      <w:b/>
      <w:i/>
      <w:color w:val="800080"/>
      <w:kern w:val="0"/>
      <w:sz w:val="20"/>
      <w:szCs w:val="20"/>
      <w:lang w:val="cs-CZ" w:eastAsia="en-US" w:bidi="ar-SA"/>
    </w:rPr>
  </w:style>
  <w:style w:type="paragraph" w:styleId="Ucinnoststart" w:customStyle="1">
    <w:name w:val="Ucinnost_start"/>
    <w:pPr>
      <w:widowControl/>
      <w:pBdr>
        <w:top w:val="single" w:sz="8" w:space="0" w:color="8B0000"/>
      </w:pBdr>
      <w:bidi w:val="0"/>
      <w:spacing w:before="0" w:after="100"/>
      <w:jc w:val="start"/>
    </w:pPr>
    <w:rPr>
      <w:rFonts w:ascii="Times New Roman" w:hAnsi="Times New Roman" w:eastAsia="Times New Roman" w:cs="Times New Roman"/>
      <w:b/>
      <w:i/>
      <w:color w:val="8B0000"/>
      <w:kern w:val="0"/>
      <w:sz w:val="20"/>
      <w:szCs w:val="20"/>
      <w:lang w:val="cs-CZ" w:eastAsia="en-US" w:bidi="ar-SA"/>
    </w:rPr>
  </w:style>
  <w:style w:type="paragraph" w:styleId="Ucinnostkonec" w:customStyle="1">
    <w:name w:val="Ucinnost_konec"/>
    <w:pPr>
      <w:widowControl/>
      <w:pBdr>
        <w:bottom w:val="single" w:sz="8" w:space="0" w:color="8B0000"/>
      </w:pBdr>
      <w:bidi w:val="0"/>
      <w:spacing w:before="0" w:after="100"/>
      <w:jc w:val="start"/>
    </w:pPr>
    <w:rPr>
      <w:rFonts w:ascii="Times New Roman" w:hAnsi="Times New Roman" w:eastAsia="Times New Roman" w:cs="Times New Roman"/>
      <w:b/>
      <w:i/>
      <w:color w:val="8B0000"/>
      <w:kern w:val="0"/>
      <w:sz w:val="20"/>
      <w:szCs w:val="20"/>
      <w:lang w:val="cs-CZ" w:eastAsia="en-US" w:bidi="ar-SA"/>
    </w:rPr>
  </w:style>
  <w:style w:type="paragraph" w:styleId="Celex" w:customStyle="1">
    <w:name w:val="Celex"/>
    <w:pPr>
      <w:widowControl/>
      <w:bidi w:val="0"/>
      <w:spacing w:before="120" w:after="120"/>
      <w:jc w:val="start"/>
    </w:pPr>
    <w:rPr>
      <w:rFonts w:ascii="Times New Roman" w:hAnsi="Times New Roman" w:eastAsia="Times New Roman" w:cs="Times New Roman"/>
      <w:i/>
      <w:color w:val="auto"/>
      <w:kern w:val="0"/>
      <w:sz w:val="20"/>
      <w:szCs w:val="20"/>
      <w:lang w:val="cs-CZ" w:eastAsia="en-US" w:bidi="ar-SA"/>
    </w:rPr>
  </w:style>
  <w:style w:type="paragraph" w:styleId="Pripominkystart" w:customStyle="1">
    <w:name w:val="Pripominky_start"/>
    <w:pPr>
      <w:widowControl/>
      <w:pBdr>
        <w:top w:val="single" w:sz="8" w:space="0" w:color="87CEFA"/>
      </w:pBdr>
      <w:bidi w:val="0"/>
      <w:spacing w:before="0" w:after="100"/>
      <w:jc w:val="end"/>
    </w:pPr>
    <w:rPr>
      <w:rFonts w:ascii="Times New Roman" w:hAnsi="Times New Roman" w:eastAsia="Times New Roman" w:cs="Times New Roman"/>
      <w:b/>
      <w:i/>
      <w:color w:val="87CEFA"/>
      <w:kern w:val="0"/>
      <w:sz w:val="20"/>
      <w:szCs w:val="20"/>
      <w:lang w:val="cs-CZ" w:eastAsia="en-US" w:bidi="ar-SA"/>
    </w:rPr>
  </w:style>
  <w:style w:type="paragraph" w:styleId="1" w:customStyle="1">
    <w:name w:val="1"/>
    <w:pPr>
      <w:widowControl/>
      <w:bidi w:val="0"/>
      <w:spacing w:before="11" w:after="0"/>
      <w:ind w:end="0"/>
      <w:jc w:val="start"/>
    </w:pPr>
    <w:rPr>
      <w:rFonts w:ascii="Times New Roman" w:hAnsi="Times New Roman" w:eastAsia="Times New Roman" w:cs="Times New Roman"/>
      <w:color w:val="auto"/>
      <w:kern w:val="0"/>
      <w:sz w:val="0"/>
      <w:szCs w:val="20"/>
      <w:lang w:val="cs-CZ" w:eastAsia="en-US" w:bidi="ar-SA"/>
    </w:rPr>
  </w:style>
  <w:style w:type="paragraph" w:styleId="2" w:customStyle="1">
    <w:name w:val="2"/>
    <w:pPr>
      <w:widowControl/>
      <w:bidi w:val="0"/>
      <w:spacing w:before="57" w:after="227"/>
      <w:ind w:end="0"/>
      <w:jc w:val="center"/>
    </w:pPr>
    <w:rPr>
      <w:rFonts w:ascii="Times New Roman" w:hAnsi="Times New Roman" w:eastAsia="Times New Roman" w:cs="Times New Roman"/>
      <w:b/>
      <w:color w:val="auto"/>
      <w:kern w:val="0"/>
      <w:sz w:val="32"/>
      <w:szCs w:val="20"/>
      <w:lang w:val="cs-CZ" w:eastAsia="en-US" w:bidi="ar-SA"/>
    </w:rPr>
  </w:style>
  <w:style w:type="paragraph" w:styleId="3" w:customStyle="1">
    <w:name w:val="3"/>
    <w:pPr>
      <w:widowControl/>
      <w:bidi w:val="0"/>
      <w:spacing w:before="0" w:after="0"/>
      <w:ind w:start="680" w:end="680"/>
      <w:jc w:val="center"/>
    </w:pPr>
    <w:rPr>
      <w:rFonts w:ascii="Times New Roman" w:hAnsi="Times New Roman" w:eastAsia="Times New Roman" w:cs="Times New Roman"/>
      <w:b/>
      <w:caps/>
      <w:color w:val="auto"/>
      <w:kern w:val="0"/>
      <w:sz w:val="32"/>
      <w:szCs w:val="20"/>
      <w:lang w:val="cs-CZ" w:eastAsia="en-US" w:bidi="ar-SA"/>
    </w:rPr>
  </w:style>
  <w:style w:type="paragraph" w:styleId="4" w:customStyle="1">
    <w:name w:val="4"/>
    <w:pPr>
      <w:widowControl/>
      <w:bidi w:val="0"/>
      <w:spacing w:before="0" w:after="170"/>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5" w:customStyle="1">
    <w:name w:val="5"/>
    <w:pPr>
      <w:widowControl/>
      <w:bidi w:val="0"/>
      <w:spacing w:before="340" w:after="113"/>
      <w:ind w:start="850" w:end="850"/>
      <w:jc w:val="center"/>
    </w:pPr>
    <w:rPr>
      <w:rFonts w:ascii="Times New Roman" w:hAnsi="Times New Roman" w:eastAsia="Times New Roman" w:cs="Times New Roman"/>
      <w:b/>
      <w:color w:val="auto"/>
      <w:kern w:val="0"/>
      <w:sz w:val="34"/>
      <w:szCs w:val="20"/>
      <w:lang w:val="cs-CZ" w:eastAsia="en-US" w:bidi="ar-SA"/>
    </w:rPr>
  </w:style>
  <w:style w:type="paragraph" w:styleId="6" w:customStyle="1">
    <w:name w:val="6"/>
    <w:pPr>
      <w:widowControl/>
      <w:bidi w:val="0"/>
      <w:spacing w:before="283" w:after="340"/>
      <w:ind w:end="0"/>
      <w:jc w:val="start"/>
    </w:pPr>
    <w:rPr>
      <w:rFonts w:ascii="Times New Roman" w:hAnsi="Times New Roman" w:eastAsia="Times New Roman" w:cs="Times New Roman"/>
      <w:color w:val="auto"/>
      <w:kern w:val="0"/>
      <w:sz w:val="30"/>
      <w:szCs w:val="20"/>
      <w:lang w:val="cs-CZ" w:eastAsia="en-US" w:bidi="ar-SA"/>
    </w:rPr>
  </w:style>
  <w:style w:type="paragraph" w:styleId="7" w:customStyle="1">
    <w:name w:val="7"/>
    <w:pPr>
      <w:widowControl/>
      <w:overflowPunct w:val="false"/>
      <w:bidi w:val="0"/>
      <w:spacing w:before="227" w:after="113"/>
      <w:ind w:hanging="0" w:start="0" w:end="0"/>
      <w:jc w:val="center"/>
    </w:pPr>
    <w:rPr>
      <w:rFonts w:ascii="Times New Roman" w:hAnsi="Times New Roman" w:eastAsia="Times New Roman" w:cs="Times New Roman"/>
      <w:color w:val="auto"/>
      <w:kern w:val="0"/>
      <w:sz w:val="28"/>
      <w:szCs w:val="20"/>
      <w:lang w:val="cs-CZ" w:eastAsia="en-US" w:bidi="ar-SA"/>
    </w:rPr>
  </w:style>
  <w:style w:type="paragraph" w:styleId="8" w:customStyle="1">
    <w:name w:val="8"/>
    <w:pPr>
      <w:widowControl/>
      <w:bidi w:val="0"/>
      <w:spacing w:before="0" w:after="57"/>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9" w:customStyle="1">
    <w:name w:val="9"/>
    <w:pPr>
      <w:widowControl/>
      <w:bidi w:val="0"/>
      <w:spacing w:before="0" w:after="57"/>
      <w:ind w:end="0"/>
      <w:jc w:val="both"/>
    </w:pPr>
    <w:rPr>
      <w:rFonts w:ascii="Times New Roman" w:hAnsi="Times New Roman" w:eastAsia="Times New Roman" w:cs="Times New Roman"/>
      <w:color w:val="auto"/>
      <w:kern w:val="0"/>
      <w:sz w:val="24"/>
      <w:szCs w:val="20"/>
      <w:lang w:val="cs-CZ" w:eastAsia="en-US" w:bidi="ar-SA"/>
    </w:rPr>
  </w:style>
  <w:style w:type="paragraph" w:styleId="10" w:customStyle="1">
    <w:name w:val="10"/>
    <w:pPr>
      <w:widowControl/>
      <w:overflowPunct w:val="false"/>
      <w:bidi w:val="0"/>
      <w:spacing w:before="0" w:after="113"/>
      <w:ind w:hanging="510" w:start="510" w:end="0"/>
      <w:jc w:val="both"/>
    </w:pPr>
    <w:rPr>
      <w:rFonts w:ascii="Times New Roman" w:hAnsi="Times New Roman" w:eastAsia="Times New Roman" w:cs="Times New Roman"/>
      <w:color w:val="auto"/>
      <w:kern w:val="0"/>
      <w:sz w:val="24"/>
      <w:szCs w:val="20"/>
      <w:lang w:val="cs-CZ" w:eastAsia="en-US" w:bidi="ar-SA"/>
    </w:rPr>
  </w:style>
  <w:style w:type="paragraph" w:styleId="Varianta10start" w:customStyle="1">
    <w:name w:val="Varianta_10_start"/>
    <w:pPr>
      <w:widowControl/>
      <w:pBdr>
        <w:top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Varianta10konec" w:customStyle="1">
    <w:name w:val="Varianta_10_konec"/>
    <w:pPr>
      <w:widowControl/>
      <w:pBdr>
        <w:bottom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Ucinnost10start" w:customStyle="1">
    <w:name w:val="Ucinnost_10_start"/>
    <w:pPr>
      <w:widowControl/>
      <w:pBdr>
        <w:top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Ucinnost10konec" w:customStyle="1">
    <w:name w:val="Ucinnost_10_konec"/>
    <w:pPr>
      <w:widowControl/>
      <w:pBdr>
        <w:bottom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Pripominky10start" w:customStyle="1">
    <w:name w:val="Pripominky_10_start"/>
    <w:pPr>
      <w:widowControl/>
      <w:pBdr>
        <w:top w:val="single" w:sz="8" w:space="0" w:color="87CEFA"/>
      </w:pBdr>
      <w:bidi w:val="0"/>
      <w:spacing w:before="0" w:after="100"/>
      <w:ind w:start="510"/>
      <w:jc w:val="end"/>
    </w:pPr>
    <w:rPr>
      <w:rFonts w:ascii="Times New Roman" w:hAnsi="Times New Roman" w:eastAsia="Times New Roman" w:cs="Times New Roman"/>
      <w:b/>
      <w:i/>
      <w:color w:val="87CEFA"/>
      <w:kern w:val="0"/>
      <w:sz w:val="20"/>
      <w:szCs w:val="20"/>
      <w:lang w:val="cs-CZ" w:eastAsia="en-US" w:bidi="ar-SA"/>
    </w:rPr>
  </w:style>
  <w:style w:type="paragraph" w:styleId="11" w:customStyle="1">
    <w:name w:val="11"/>
    <w:pPr>
      <w:widowControl/>
      <w:overflowPunct w:val="false"/>
      <w:bidi w:val="0"/>
      <w:spacing w:before="113" w:after="57"/>
      <w:ind w:hanging="510" w:start="510" w:end="0"/>
      <w:jc w:val="both"/>
    </w:pPr>
    <w:rPr>
      <w:rFonts w:ascii="Times New Roman" w:hAnsi="Times New Roman" w:eastAsia="Times New Roman" w:cs="Times New Roman"/>
      <w:color w:val="auto"/>
      <w:kern w:val="0"/>
      <w:sz w:val="24"/>
      <w:szCs w:val="20"/>
      <w:lang w:val="cs-CZ" w:eastAsia="en-US" w:bidi="ar-SA"/>
    </w:rPr>
  </w:style>
  <w:style w:type="paragraph" w:styleId="Varianta11start" w:customStyle="1">
    <w:name w:val="Varianta_11_start"/>
    <w:pPr>
      <w:widowControl/>
      <w:pBdr>
        <w:top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Varianta11konec" w:customStyle="1">
    <w:name w:val="Varianta_11_konec"/>
    <w:pPr>
      <w:widowControl/>
      <w:pBdr>
        <w:bottom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Ucinnost11start" w:customStyle="1">
    <w:name w:val="Ucinnost_11_start"/>
    <w:pPr>
      <w:widowControl/>
      <w:pBdr>
        <w:top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Ucinnost11konec" w:customStyle="1">
    <w:name w:val="Ucinnost_11_konec"/>
    <w:pPr>
      <w:widowControl/>
      <w:pBdr>
        <w:bottom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Pripominky11start" w:customStyle="1">
    <w:name w:val="Pripominky_11_start"/>
    <w:pPr>
      <w:widowControl/>
      <w:pBdr>
        <w:top w:val="single" w:sz="8" w:space="0" w:color="87CEFA"/>
      </w:pBdr>
      <w:bidi w:val="0"/>
      <w:spacing w:before="0" w:after="100"/>
      <w:ind w:start="510"/>
      <w:jc w:val="end"/>
    </w:pPr>
    <w:rPr>
      <w:rFonts w:ascii="Times New Roman" w:hAnsi="Times New Roman" w:eastAsia="Times New Roman" w:cs="Times New Roman"/>
      <w:b/>
      <w:i/>
      <w:color w:val="87CEFA"/>
      <w:kern w:val="0"/>
      <w:sz w:val="20"/>
      <w:szCs w:val="20"/>
      <w:lang w:val="cs-CZ" w:eastAsia="en-US" w:bidi="ar-SA"/>
    </w:rPr>
  </w:style>
  <w:style w:type="paragraph" w:styleId="12" w:customStyle="1">
    <w:name w:val="12"/>
    <w:pPr>
      <w:widowControl/>
      <w:overflowPunct w:val="false"/>
      <w:bidi w:val="0"/>
      <w:spacing w:before="0" w:after="227"/>
      <w:ind w:hanging="340" w:start="1190" w:end="0"/>
      <w:jc w:val="both"/>
    </w:pPr>
    <w:rPr>
      <w:rFonts w:ascii="Times New Roman" w:hAnsi="Times New Roman" w:eastAsia="Times New Roman" w:cs="Times New Roman"/>
      <w:color w:val="auto"/>
      <w:kern w:val="0"/>
      <w:sz w:val="24"/>
      <w:szCs w:val="20"/>
      <w:lang w:val="cs-CZ" w:eastAsia="en-US" w:bidi="ar-SA"/>
    </w:rPr>
  </w:style>
  <w:style w:type="paragraph" w:styleId="Varianta12start" w:customStyle="1">
    <w:name w:val="Varianta_12_start"/>
    <w:pPr>
      <w:widowControl/>
      <w:pBdr>
        <w:top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Varianta12konec" w:customStyle="1">
    <w:name w:val="Varianta_12_konec"/>
    <w:pPr>
      <w:widowControl/>
      <w:pBdr>
        <w:bottom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Ucinnost12start" w:customStyle="1">
    <w:name w:val="Ucinnost_12_start"/>
    <w:pPr>
      <w:widowControl/>
      <w:pBdr>
        <w:top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Ucinnost12konec" w:customStyle="1">
    <w:name w:val="Ucinnost_12_konec"/>
    <w:pPr>
      <w:widowControl/>
      <w:pBdr>
        <w:bottom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Pripominky12start" w:customStyle="1">
    <w:name w:val="Pripominky_12_start"/>
    <w:pPr>
      <w:widowControl/>
      <w:pBdr>
        <w:top w:val="single" w:sz="8" w:space="0" w:color="87CEFA"/>
      </w:pBdr>
      <w:bidi w:val="0"/>
      <w:spacing w:before="0" w:after="100"/>
      <w:ind w:start="1190"/>
      <w:jc w:val="end"/>
    </w:pPr>
    <w:rPr>
      <w:rFonts w:ascii="Times New Roman" w:hAnsi="Times New Roman" w:eastAsia="Times New Roman" w:cs="Times New Roman"/>
      <w:b/>
      <w:i/>
      <w:color w:val="87CEFA"/>
      <w:kern w:val="0"/>
      <w:sz w:val="20"/>
      <w:szCs w:val="20"/>
      <w:lang w:val="cs-CZ" w:eastAsia="en-US" w:bidi="ar-SA"/>
    </w:rPr>
  </w:style>
  <w:style w:type="paragraph" w:styleId="13" w:customStyle="1">
    <w:name w:val="13"/>
    <w:pPr>
      <w:widowControl/>
      <w:overflowPunct w:val="false"/>
      <w:bidi w:val="0"/>
      <w:spacing w:before="0" w:after="28"/>
      <w:ind w:hanging="340" w:start="1814" w:end="0"/>
      <w:jc w:val="both"/>
    </w:pPr>
    <w:rPr>
      <w:rFonts w:ascii="Times New Roman" w:hAnsi="Times New Roman" w:eastAsia="Times New Roman" w:cs="Times New Roman"/>
      <w:color w:val="auto"/>
      <w:kern w:val="0"/>
      <w:sz w:val="24"/>
      <w:szCs w:val="20"/>
      <w:lang w:val="cs-CZ" w:eastAsia="en-US" w:bidi="ar-SA"/>
    </w:rPr>
  </w:style>
  <w:style w:type="paragraph" w:styleId="Varianta13start" w:customStyle="1">
    <w:name w:val="Varianta_13_start"/>
    <w:pPr>
      <w:widowControl/>
      <w:pBdr>
        <w:top w:val="single" w:sz="8" w:space="0" w:color="800080"/>
      </w:pBdr>
      <w:bidi w:val="0"/>
      <w:spacing w:before="0" w:after="100"/>
      <w:ind w:start="1814"/>
      <w:jc w:val="start"/>
    </w:pPr>
    <w:rPr>
      <w:rFonts w:ascii="Times New Roman" w:hAnsi="Times New Roman" w:eastAsia="Times New Roman" w:cs="Times New Roman"/>
      <w:b/>
      <w:i/>
      <w:color w:val="800080"/>
      <w:kern w:val="0"/>
      <w:sz w:val="20"/>
      <w:szCs w:val="20"/>
      <w:lang w:val="cs-CZ" w:eastAsia="en-US" w:bidi="ar-SA"/>
    </w:rPr>
  </w:style>
  <w:style w:type="paragraph" w:styleId="Varianta13konec" w:customStyle="1">
    <w:name w:val="Varianta_13_konec"/>
    <w:pPr>
      <w:widowControl/>
      <w:pBdr>
        <w:bottom w:val="single" w:sz="8" w:space="0" w:color="800080"/>
      </w:pBdr>
      <w:bidi w:val="0"/>
      <w:spacing w:before="0" w:after="100"/>
      <w:ind w:start="1814"/>
      <w:jc w:val="start"/>
    </w:pPr>
    <w:rPr>
      <w:rFonts w:ascii="Times New Roman" w:hAnsi="Times New Roman" w:eastAsia="Times New Roman" w:cs="Times New Roman"/>
      <w:b/>
      <w:i/>
      <w:color w:val="800080"/>
      <w:kern w:val="0"/>
      <w:sz w:val="20"/>
      <w:szCs w:val="20"/>
      <w:lang w:val="cs-CZ" w:eastAsia="en-US" w:bidi="ar-SA"/>
    </w:rPr>
  </w:style>
  <w:style w:type="paragraph" w:styleId="Ucinnost13start" w:customStyle="1">
    <w:name w:val="Ucinnost_13_start"/>
    <w:pPr>
      <w:widowControl/>
      <w:pBdr>
        <w:top w:val="single" w:sz="8" w:space="0" w:color="8B0000"/>
      </w:pBdr>
      <w:bidi w:val="0"/>
      <w:spacing w:before="0" w:after="100"/>
      <w:ind w:start="1814"/>
      <w:jc w:val="start"/>
    </w:pPr>
    <w:rPr>
      <w:rFonts w:ascii="Times New Roman" w:hAnsi="Times New Roman" w:eastAsia="Times New Roman" w:cs="Times New Roman"/>
      <w:b/>
      <w:i/>
      <w:color w:val="8B0000"/>
      <w:kern w:val="0"/>
      <w:sz w:val="20"/>
      <w:szCs w:val="20"/>
      <w:lang w:val="cs-CZ" w:eastAsia="en-US" w:bidi="ar-SA"/>
    </w:rPr>
  </w:style>
  <w:style w:type="paragraph" w:styleId="Ucinnost13konec" w:customStyle="1">
    <w:name w:val="Ucinnost_13_konec"/>
    <w:pPr>
      <w:widowControl/>
      <w:pBdr>
        <w:bottom w:val="single" w:sz="8" w:space="0" w:color="8B0000"/>
      </w:pBdr>
      <w:bidi w:val="0"/>
      <w:spacing w:before="0" w:after="100"/>
      <w:ind w:start="1814"/>
      <w:jc w:val="start"/>
    </w:pPr>
    <w:rPr>
      <w:rFonts w:ascii="Times New Roman" w:hAnsi="Times New Roman" w:eastAsia="Times New Roman" w:cs="Times New Roman"/>
      <w:b/>
      <w:i/>
      <w:color w:val="8B0000"/>
      <w:kern w:val="0"/>
      <w:sz w:val="20"/>
      <w:szCs w:val="20"/>
      <w:lang w:val="cs-CZ" w:eastAsia="en-US" w:bidi="ar-SA"/>
    </w:rPr>
  </w:style>
  <w:style w:type="paragraph" w:styleId="Pripominky13start" w:customStyle="1">
    <w:name w:val="Pripominky_13_start"/>
    <w:pPr>
      <w:widowControl/>
      <w:pBdr>
        <w:top w:val="single" w:sz="8" w:space="0" w:color="87CEFA"/>
      </w:pBdr>
      <w:bidi w:val="0"/>
      <w:spacing w:before="0" w:after="100"/>
      <w:ind w:start="1814"/>
      <w:jc w:val="end"/>
    </w:pPr>
    <w:rPr>
      <w:rFonts w:ascii="Times New Roman" w:hAnsi="Times New Roman" w:eastAsia="Times New Roman" w:cs="Times New Roman"/>
      <w:b/>
      <w:i/>
      <w:color w:val="87CEFA"/>
      <w:kern w:val="0"/>
      <w:sz w:val="20"/>
      <w:szCs w:val="20"/>
      <w:lang w:val="cs-CZ" w:eastAsia="en-US" w:bidi="ar-SA"/>
    </w:rPr>
  </w:style>
  <w:style w:type="paragraph" w:styleId="14" w:customStyle="1">
    <w:name w:val="14"/>
    <w:pPr>
      <w:widowControl/>
      <w:overflowPunct w:val="false"/>
      <w:bidi w:val="0"/>
      <w:spacing w:before="28" w:after="28"/>
      <w:ind w:hanging="340" w:start="1814" w:end="0"/>
      <w:jc w:val="both"/>
    </w:pPr>
    <w:rPr>
      <w:rFonts w:ascii="Times New Roman" w:hAnsi="Times New Roman" w:eastAsia="Times New Roman" w:cs="Times New Roman"/>
      <w:color w:val="auto"/>
      <w:kern w:val="0"/>
      <w:sz w:val="24"/>
      <w:szCs w:val="20"/>
      <w:lang w:val="cs-CZ" w:eastAsia="en-US" w:bidi="ar-SA"/>
    </w:rPr>
  </w:style>
  <w:style w:type="paragraph" w:styleId="Varianta14start" w:customStyle="1">
    <w:name w:val="Varianta_14_start"/>
    <w:pPr>
      <w:widowControl/>
      <w:pBdr>
        <w:top w:val="single" w:sz="8" w:space="0" w:color="800080"/>
      </w:pBdr>
      <w:bidi w:val="0"/>
      <w:spacing w:before="0" w:after="100"/>
      <w:ind w:start="1814"/>
      <w:jc w:val="start"/>
    </w:pPr>
    <w:rPr>
      <w:rFonts w:ascii="Times New Roman" w:hAnsi="Times New Roman" w:eastAsia="Times New Roman" w:cs="Times New Roman"/>
      <w:b/>
      <w:i/>
      <w:color w:val="800080"/>
      <w:kern w:val="0"/>
      <w:sz w:val="20"/>
      <w:szCs w:val="20"/>
      <w:lang w:val="cs-CZ" w:eastAsia="en-US" w:bidi="ar-SA"/>
    </w:rPr>
  </w:style>
  <w:style w:type="paragraph" w:styleId="Varianta14konec" w:customStyle="1">
    <w:name w:val="Varianta_14_konec"/>
    <w:pPr>
      <w:widowControl/>
      <w:pBdr>
        <w:bottom w:val="single" w:sz="8" w:space="0" w:color="800080"/>
      </w:pBdr>
      <w:bidi w:val="0"/>
      <w:spacing w:before="0" w:after="100"/>
      <w:ind w:start="1814"/>
      <w:jc w:val="start"/>
    </w:pPr>
    <w:rPr>
      <w:rFonts w:ascii="Times New Roman" w:hAnsi="Times New Roman" w:eastAsia="Times New Roman" w:cs="Times New Roman"/>
      <w:b/>
      <w:i/>
      <w:color w:val="800080"/>
      <w:kern w:val="0"/>
      <w:sz w:val="20"/>
      <w:szCs w:val="20"/>
      <w:lang w:val="cs-CZ" w:eastAsia="en-US" w:bidi="ar-SA"/>
    </w:rPr>
  </w:style>
  <w:style w:type="paragraph" w:styleId="Ucinnost14start" w:customStyle="1">
    <w:name w:val="Ucinnost_14_start"/>
    <w:pPr>
      <w:widowControl/>
      <w:pBdr>
        <w:top w:val="single" w:sz="8" w:space="0" w:color="8B0000"/>
      </w:pBdr>
      <w:bidi w:val="0"/>
      <w:spacing w:before="0" w:after="100"/>
      <w:ind w:start="1814"/>
      <w:jc w:val="start"/>
    </w:pPr>
    <w:rPr>
      <w:rFonts w:ascii="Times New Roman" w:hAnsi="Times New Roman" w:eastAsia="Times New Roman" w:cs="Times New Roman"/>
      <w:b/>
      <w:i/>
      <w:color w:val="8B0000"/>
      <w:kern w:val="0"/>
      <w:sz w:val="20"/>
      <w:szCs w:val="20"/>
      <w:lang w:val="cs-CZ" w:eastAsia="en-US" w:bidi="ar-SA"/>
    </w:rPr>
  </w:style>
  <w:style w:type="paragraph" w:styleId="Ucinnost14konec" w:customStyle="1">
    <w:name w:val="Ucinnost_14_konec"/>
    <w:pPr>
      <w:widowControl/>
      <w:pBdr>
        <w:bottom w:val="single" w:sz="8" w:space="0" w:color="8B0000"/>
      </w:pBdr>
      <w:bidi w:val="0"/>
      <w:spacing w:before="0" w:after="100"/>
      <w:ind w:start="1814"/>
      <w:jc w:val="start"/>
    </w:pPr>
    <w:rPr>
      <w:rFonts w:ascii="Times New Roman" w:hAnsi="Times New Roman" w:eastAsia="Times New Roman" w:cs="Times New Roman"/>
      <w:b/>
      <w:i/>
      <w:color w:val="8B0000"/>
      <w:kern w:val="0"/>
      <w:sz w:val="20"/>
      <w:szCs w:val="20"/>
      <w:lang w:val="cs-CZ" w:eastAsia="en-US" w:bidi="ar-SA"/>
    </w:rPr>
  </w:style>
  <w:style w:type="paragraph" w:styleId="Pripominky14start" w:customStyle="1">
    <w:name w:val="Pripominky_14_start"/>
    <w:pPr>
      <w:widowControl/>
      <w:pBdr>
        <w:top w:val="single" w:sz="8" w:space="0" w:color="87CEFA"/>
      </w:pBdr>
      <w:bidi w:val="0"/>
      <w:spacing w:before="0" w:after="100"/>
      <w:ind w:start="1814"/>
      <w:jc w:val="end"/>
    </w:pPr>
    <w:rPr>
      <w:rFonts w:ascii="Times New Roman" w:hAnsi="Times New Roman" w:eastAsia="Times New Roman" w:cs="Times New Roman"/>
      <w:b/>
      <w:i/>
      <w:color w:val="87CEFA"/>
      <w:kern w:val="0"/>
      <w:sz w:val="20"/>
      <w:szCs w:val="20"/>
      <w:lang w:val="cs-CZ" w:eastAsia="en-US" w:bidi="ar-SA"/>
    </w:rPr>
  </w:style>
  <w:style w:type="paragraph" w:styleId="15" w:customStyle="1">
    <w:name w:val="15"/>
    <w:pPr>
      <w:widowControl/>
      <w:overflowPunct w:val="false"/>
      <w:bidi w:val="0"/>
      <w:spacing w:before="28" w:after="113"/>
      <w:ind w:hanging="340" w:start="1814" w:end="0"/>
      <w:jc w:val="both"/>
    </w:pPr>
    <w:rPr>
      <w:rFonts w:ascii="Times New Roman" w:hAnsi="Times New Roman" w:eastAsia="Times New Roman" w:cs="Times New Roman"/>
      <w:color w:val="auto"/>
      <w:kern w:val="0"/>
      <w:sz w:val="24"/>
      <w:szCs w:val="20"/>
      <w:lang w:val="cs-CZ" w:eastAsia="en-US" w:bidi="ar-SA"/>
    </w:rPr>
  </w:style>
  <w:style w:type="paragraph" w:styleId="Varianta15start" w:customStyle="1">
    <w:name w:val="Varianta_15_start"/>
    <w:pPr>
      <w:widowControl/>
      <w:pBdr>
        <w:top w:val="single" w:sz="8" w:space="0" w:color="800080"/>
      </w:pBdr>
      <w:bidi w:val="0"/>
      <w:spacing w:before="0" w:after="100"/>
      <w:ind w:start="1814"/>
      <w:jc w:val="start"/>
    </w:pPr>
    <w:rPr>
      <w:rFonts w:ascii="Times New Roman" w:hAnsi="Times New Roman" w:eastAsia="Times New Roman" w:cs="Times New Roman"/>
      <w:b/>
      <w:i/>
      <w:color w:val="800080"/>
      <w:kern w:val="0"/>
      <w:sz w:val="20"/>
      <w:szCs w:val="20"/>
      <w:lang w:val="cs-CZ" w:eastAsia="en-US" w:bidi="ar-SA"/>
    </w:rPr>
  </w:style>
  <w:style w:type="paragraph" w:styleId="Varianta15konec" w:customStyle="1">
    <w:name w:val="Varianta_15_konec"/>
    <w:pPr>
      <w:widowControl/>
      <w:pBdr>
        <w:bottom w:val="single" w:sz="8" w:space="0" w:color="800080"/>
      </w:pBdr>
      <w:bidi w:val="0"/>
      <w:spacing w:before="0" w:after="100"/>
      <w:ind w:start="1814"/>
      <w:jc w:val="start"/>
    </w:pPr>
    <w:rPr>
      <w:rFonts w:ascii="Times New Roman" w:hAnsi="Times New Roman" w:eastAsia="Times New Roman" w:cs="Times New Roman"/>
      <w:b/>
      <w:i/>
      <w:color w:val="800080"/>
      <w:kern w:val="0"/>
      <w:sz w:val="20"/>
      <w:szCs w:val="20"/>
      <w:lang w:val="cs-CZ" w:eastAsia="en-US" w:bidi="ar-SA"/>
    </w:rPr>
  </w:style>
  <w:style w:type="paragraph" w:styleId="Ucinnost15start" w:customStyle="1">
    <w:name w:val="Ucinnost_15_start"/>
    <w:pPr>
      <w:widowControl/>
      <w:pBdr>
        <w:top w:val="single" w:sz="8" w:space="0" w:color="8B0000"/>
      </w:pBdr>
      <w:bidi w:val="0"/>
      <w:spacing w:before="0" w:after="100"/>
      <w:ind w:start="1814"/>
      <w:jc w:val="start"/>
    </w:pPr>
    <w:rPr>
      <w:rFonts w:ascii="Times New Roman" w:hAnsi="Times New Roman" w:eastAsia="Times New Roman" w:cs="Times New Roman"/>
      <w:b/>
      <w:i/>
      <w:color w:val="8B0000"/>
      <w:kern w:val="0"/>
      <w:sz w:val="20"/>
      <w:szCs w:val="20"/>
      <w:lang w:val="cs-CZ" w:eastAsia="en-US" w:bidi="ar-SA"/>
    </w:rPr>
  </w:style>
  <w:style w:type="paragraph" w:styleId="Ucinnost15konec" w:customStyle="1">
    <w:name w:val="Ucinnost_15_konec"/>
    <w:pPr>
      <w:widowControl/>
      <w:pBdr>
        <w:bottom w:val="single" w:sz="8" w:space="0" w:color="8B0000"/>
      </w:pBdr>
      <w:bidi w:val="0"/>
      <w:spacing w:before="0" w:after="100"/>
      <w:ind w:start="1814"/>
      <w:jc w:val="start"/>
    </w:pPr>
    <w:rPr>
      <w:rFonts w:ascii="Times New Roman" w:hAnsi="Times New Roman" w:eastAsia="Times New Roman" w:cs="Times New Roman"/>
      <w:b/>
      <w:i/>
      <w:color w:val="8B0000"/>
      <w:kern w:val="0"/>
      <w:sz w:val="20"/>
      <w:szCs w:val="20"/>
      <w:lang w:val="cs-CZ" w:eastAsia="en-US" w:bidi="ar-SA"/>
    </w:rPr>
  </w:style>
  <w:style w:type="paragraph" w:styleId="Pripominky15start" w:customStyle="1">
    <w:name w:val="Pripominky_15_start"/>
    <w:pPr>
      <w:widowControl/>
      <w:pBdr>
        <w:top w:val="single" w:sz="8" w:space="0" w:color="87CEFA"/>
      </w:pBdr>
      <w:bidi w:val="0"/>
      <w:spacing w:before="0" w:after="100"/>
      <w:ind w:start="1814"/>
      <w:jc w:val="end"/>
    </w:pPr>
    <w:rPr>
      <w:rFonts w:ascii="Times New Roman" w:hAnsi="Times New Roman" w:eastAsia="Times New Roman" w:cs="Times New Roman"/>
      <w:b/>
      <w:i/>
      <w:color w:val="87CEFA"/>
      <w:kern w:val="0"/>
      <w:sz w:val="20"/>
      <w:szCs w:val="20"/>
      <w:lang w:val="cs-CZ" w:eastAsia="en-US" w:bidi="ar-SA"/>
    </w:rPr>
  </w:style>
  <w:style w:type="paragraph" w:styleId="16" w:customStyle="1">
    <w:name w:val="16"/>
    <w:pPr>
      <w:widowControl/>
      <w:overflowPunct w:val="false"/>
      <w:bidi w:val="0"/>
      <w:spacing w:before="0" w:after="57"/>
      <w:ind w:hanging="340" w:start="1190" w:end="0"/>
      <w:jc w:val="both"/>
    </w:pPr>
    <w:rPr>
      <w:rFonts w:ascii="Times New Roman" w:hAnsi="Times New Roman" w:eastAsia="Times New Roman" w:cs="Times New Roman"/>
      <w:color w:val="auto"/>
      <w:kern w:val="0"/>
      <w:sz w:val="24"/>
      <w:szCs w:val="20"/>
      <w:lang w:val="cs-CZ" w:eastAsia="en-US" w:bidi="ar-SA"/>
    </w:rPr>
  </w:style>
  <w:style w:type="paragraph" w:styleId="Varianta16start" w:customStyle="1">
    <w:name w:val="Varianta_16_start"/>
    <w:pPr>
      <w:widowControl/>
      <w:pBdr>
        <w:top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Varianta16konec" w:customStyle="1">
    <w:name w:val="Varianta_16_konec"/>
    <w:pPr>
      <w:widowControl/>
      <w:pBdr>
        <w:bottom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Ucinnost16start" w:customStyle="1">
    <w:name w:val="Ucinnost_16_start"/>
    <w:pPr>
      <w:widowControl/>
      <w:pBdr>
        <w:top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Ucinnost16konec" w:customStyle="1">
    <w:name w:val="Ucinnost_16_konec"/>
    <w:pPr>
      <w:widowControl/>
      <w:pBdr>
        <w:bottom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Pripominky16start" w:customStyle="1">
    <w:name w:val="Pripominky_16_start"/>
    <w:pPr>
      <w:widowControl/>
      <w:pBdr>
        <w:top w:val="single" w:sz="8" w:space="0" w:color="87CEFA"/>
      </w:pBdr>
      <w:bidi w:val="0"/>
      <w:spacing w:before="0" w:after="100"/>
      <w:ind w:start="1190"/>
      <w:jc w:val="end"/>
    </w:pPr>
    <w:rPr>
      <w:rFonts w:ascii="Times New Roman" w:hAnsi="Times New Roman" w:eastAsia="Times New Roman" w:cs="Times New Roman"/>
      <w:b/>
      <w:i/>
      <w:color w:val="87CEFA"/>
      <w:kern w:val="0"/>
      <w:sz w:val="20"/>
      <w:szCs w:val="20"/>
      <w:lang w:val="cs-CZ" w:eastAsia="en-US" w:bidi="ar-SA"/>
    </w:rPr>
  </w:style>
  <w:style w:type="paragraph" w:styleId="17" w:customStyle="1">
    <w:name w:val="17"/>
    <w:pPr>
      <w:widowControl/>
      <w:overflowPunct w:val="false"/>
      <w:bidi w:val="0"/>
      <w:spacing w:before="57" w:after="57"/>
      <w:ind w:hanging="340" w:start="1190" w:end="0"/>
      <w:jc w:val="both"/>
    </w:pPr>
    <w:rPr>
      <w:rFonts w:ascii="Times New Roman" w:hAnsi="Times New Roman" w:eastAsia="Times New Roman" w:cs="Times New Roman"/>
      <w:color w:val="auto"/>
      <w:kern w:val="0"/>
      <w:sz w:val="24"/>
      <w:szCs w:val="20"/>
      <w:lang w:val="cs-CZ" w:eastAsia="en-US" w:bidi="ar-SA"/>
    </w:rPr>
  </w:style>
  <w:style w:type="paragraph" w:styleId="Varianta17start" w:customStyle="1">
    <w:name w:val="Varianta_17_start"/>
    <w:pPr>
      <w:widowControl/>
      <w:pBdr>
        <w:top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Varianta17konec" w:customStyle="1">
    <w:name w:val="Varianta_17_konec"/>
    <w:pPr>
      <w:widowControl/>
      <w:pBdr>
        <w:bottom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Ucinnost17start" w:customStyle="1">
    <w:name w:val="Ucinnost_17_start"/>
    <w:pPr>
      <w:widowControl/>
      <w:pBdr>
        <w:top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Ucinnost17konec" w:customStyle="1">
    <w:name w:val="Ucinnost_17_konec"/>
    <w:pPr>
      <w:widowControl/>
      <w:pBdr>
        <w:bottom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Pripominky17start" w:customStyle="1">
    <w:name w:val="Pripominky_17_start"/>
    <w:pPr>
      <w:widowControl/>
      <w:pBdr>
        <w:top w:val="single" w:sz="8" w:space="0" w:color="87CEFA"/>
      </w:pBdr>
      <w:bidi w:val="0"/>
      <w:spacing w:before="0" w:after="100"/>
      <w:ind w:start="1190"/>
      <w:jc w:val="end"/>
    </w:pPr>
    <w:rPr>
      <w:rFonts w:ascii="Times New Roman" w:hAnsi="Times New Roman" w:eastAsia="Times New Roman" w:cs="Times New Roman"/>
      <w:b/>
      <w:i/>
      <w:color w:val="87CEFA"/>
      <w:kern w:val="0"/>
      <w:sz w:val="20"/>
      <w:szCs w:val="20"/>
      <w:lang w:val="cs-CZ" w:eastAsia="en-US" w:bidi="ar-SA"/>
    </w:rPr>
  </w:style>
  <w:style w:type="paragraph" w:styleId="18" w:customStyle="1">
    <w:name w:val="18"/>
    <w:pPr>
      <w:widowControl/>
      <w:overflowPunct w:val="false"/>
      <w:bidi w:val="0"/>
      <w:spacing w:before="57" w:after="227"/>
      <w:ind w:hanging="340" w:start="1190" w:end="0"/>
      <w:jc w:val="both"/>
    </w:pPr>
    <w:rPr>
      <w:rFonts w:ascii="Times New Roman" w:hAnsi="Times New Roman" w:eastAsia="Times New Roman" w:cs="Times New Roman"/>
      <w:color w:val="auto"/>
      <w:kern w:val="0"/>
      <w:sz w:val="24"/>
      <w:szCs w:val="20"/>
      <w:lang w:val="cs-CZ" w:eastAsia="en-US" w:bidi="ar-SA"/>
    </w:rPr>
  </w:style>
  <w:style w:type="paragraph" w:styleId="Varianta18start" w:customStyle="1">
    <w:name w:val="Varianta_18_start"/>
    <w:pPr>
      <w:widowControl/>
      <w:pBdr>
        <w:top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Varianta18konec" w:customStyle="1">
    <w:name w:val="Varianta_18_konec"/>
    <w:pPr>
      <w:widowControl/>
      <w:pBdr>
        <w:bottom w:val="single" w:sz="8" w:space="0" w:color="800080"/>
      </w:pBdr>
      <w:bidi w:val="0"/>
      <w:spacing w:before="0" w:after="100"/>
      <w:ind w:start="1190"/>
      <w:jc w:val="start"/>
    </w:pPr>
    <w:rPr>
      <w:rFonts w:ascii="Times New Roman" w:hAnsi="Times New Roman" w:eastAsia="Times New Roman" w:cs="Times New Roman"/>
      <w:b/>
      <w:i/>
      <w:color w:val="800080"/>
      <w:kern w:val="0"/>
      <w:sz w:val="20"/>
      <w:szCs w:val="20"/>
      <w:lang w:val="cs-CZ" w:eastAsia="en-US" w:bidi="ar-SA"/>
    </w:rPr>
  </w:style>
  <w:style w:type="paragraph" w:styleId="Ucinnost18start" w:customStyle="1">
    <w:name w:val="Ucinnost_18_start"/>
    <w:pPr>
      <w:widowControl/>
      <w:pBdr>
        <w:top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Ucinnost18konec" w:customStyle="1">
    <w:name w:val="Ucinnost_18_konec"/>
    <w:pPr>
      <w:widowControl/>
      <w:pBdr>
        <w:bottom w:val="single" w:sz="8" w:space="0" w:color="8B0000"/>
      </w:pBdr>
      <w:bidi w:val="0"/>
      <w:spacing w:before="0" w:after="100"/>
      <w:ind w:start="1190"/>
      <w:jc w:val="start"/>
    </w:pPr>
    <w:rPr>
      <w:rFonts w:ascii="Times New Roman" w:hAnsi="Times New Roman" w:eastAsia="Times New Roman" w:cs="Times New Roman"/>
      <w:b/>
      <w:i/>
      <w:color w:val="8B0000"/>
      <w:kern w:val="0"/>
      <w:sz w:val="20"/>
      <w:szCs w:val="20"/>
      <w:lang w:val="cs-CZ" w:eastAsia="en-US" w:bidi="ar-SA"/>
    </w:rPr>
  </w:style>
  <w:style w:type="paragraph" w:styleId="Pripominky18start" w:customStyle="1">
    <w:name w:val="Pripominky_18_start"/>
    <w:pPr>
      <w:widowControl/>
      <w:pBdr>
        <w:top w:val="single" w:sz="8" w:space="0" w:color="87CEFA"/>
      </w:pBdr>
      <w:bidi w:val="0"/>
      <w:spacing w:before="0" w:after="100"/>
      <w:ind w:start="1190"/>
      <w:jc w:val="end"/>
    </w:pPr>
    <w:rPr>
      <w:rFonts w:ascii="Times New Roman" w:hAnsi="Times New Roman" w:eastAsia="Times New Roman" w:cs="Times New Roman"/>
      <w:b/>
      <w:i/>
      <w:color w:val="87CEFA"/>
      <w:kern w:val="0"/>
      <w:sz w:val="20"/>
      <w:szCs w:val="20"/>
      <w:lang w:val="cs-CZ" w:eastAsia="en-US" w:bidi="ar-SA"/>
    </w:rPr>
  </w:style>
  <w:style w:type="paragraph" w:styleId="19" w:customStyle="1">
    <w:name w:val="19"/>
    <w:pPr>
      <w:widowControl/>
      <w:bidi w:val="0"/>
      <w:spacing w:before="0" w:after="57"/>
      <w:ind w:start="510" w:end="0"/>
      <w:jc w:val="both"/>
    </w:pPr>
    <w:rPr>
      <w:rFonts w:ascii="Times New Roman" w:hAnsi="Times New Roman" w:eastAsia="Times New Roman" w:cs="Times New Roman"/>
      <w:color w:val="auto"/>
      <w:kern w:val="0"/>
      <w:sz w:val="24"/>
      <w:szCs w:val="20"/>
      <w:lang w:val="cs-CZ" w:eastAsia="en-US" w:bidi="ar-SA"/>
    </w:rPr>
  </w:style>
  <w:style w:type="paragraph" w:styleId="20" w:customStyle="1">
    <w:name w:val="20"/>
    <w:pPr>
      <w:widowControl/>
      <w:overflowPunct w:val="false"/>
      <w:bidi w:val="0"/>
      <w:spacing w:before="113" w:after="113"/>
      <w:ind w:hanging="510" w:start="510" w:end="0"/>
      <w:jc w:val="both"/>
    </w:pPr>
    <w:rPr>
      <w:rFonts w:ascii="Times New Roman" w:hAnsi="Times New Roman" w:eastAsia="Times New Roman" w:cs="Times New Roman"/>
      <w:color w:val="auto"/>
      <w:kern w:val="0"/>
      <w:sz w:val="24"/>
      <w:szCs w:val="20"/>
      <w:lang w:val="cs-CZ" w:eastAsia="en-US" w:bidi="ar-SA"/>
    </w:rPr>
  </w:style>
  <w:style w:type="paragraph" w:styleId="Varianta20start" w:customStyle="1">
    <w:name w:val="Varianta_20_start"/>
    <w:pPr>
      <w:widowControl/>
      <w:pBdr>
        <w:top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Varianta20konec" w:customStyle="1">
    <w:name w:val="Varianta_20_konec"/>
    <w:pPr>
      <w:widowControl/>
      <w:pBdr>
        <w:bottom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Ucinnost20start" w:customStyle="1">
    <w:name w:val="Ucinnost_20_start"/>
    <w:pPr>
      <w:widowControl/>
      <w:pBdr>
        <w:top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Ucinnost20konec" w:customStyle="1">
    <w:name w:val="Ucinnost_20_konec"/>
    <w:pPr>
      <w:widowControl/>
      <w:pBdr>
        <w:bottom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Pripominky20start" w:customStyle="1">
    <w:name w:val="Pripominky_20_start"/>
    <w:pPr>
      <w:widowControl/>
      <w:pBdr>
        <w:top w:val="single" w:sz="8" w:space="0" w:color="87CEFA"/>
      </w:pBdr>
      <w:bidi w:val="0"/>
      <w:spacing w:before="0" w:after="100"/>
      <w:ind w:start="510"/>
      <w:jc w:val="end"/>
    </w:pPr>
    <w:rPr>
      <w:rFonts w:ascii="Times New Roman" w:hAnsi="Times New Roman" w:eastAsia="Times New Roman" w:cs="Times New Roman"/>
      <w:b/>
      <w:i/>
      <w:color w:val="87CEFA"/>
      <w:kern w:val="0"/>
      <w:sz w:val="20"/>
      <w:szCs w:val="20"/>
      <w:lang w:val="cs-CZ" w:eastAsia="en-US" w:bidi="ar-SA"/>
    </w:rPr>
  </w:style>
  <w:style w:type="paragraph" w:styleId="21" w:customStyle="1">
    <w:name w:val="21"/>
    <w:pPr>
      <w:widowControl/>
      <w:overflowPunct w:val="false"/>
      <w:bidi w:val="0"/>
      <w:spacing w:before="0" w:after="57"/>
      <w:ind w:hanging="510" w:start="510" w:end="0"/>
      <w:jc w:val="both"/>
    </w:pPr>
    <w:rPr>
      <w:rFonts w:ascii="Times New Roman" w:hAnsi="Times New Roman" w:eastAsia="Times New Roman" w:cs="Times New Roman"/>
      <w:color w:val="auto"/>
      <w:kern w:val="0"/>
      <w:sz w:val="24"/>
      <w:szCs w:val="20"/>
      <w:lang w:val="cs-CZ" w:eastAsia="en-US" w:bidi="ar-SA"/>
    </w:rPr>
  </w:style>
  <w:style w:type="paragraph" w:styleId="Varianta21start" w:customStyle="1">
    <w:name w:val="Varianta_21_start"/>
    <w:pPr>
      <w:widowControl/>
      <w:pBdr>
        <w:top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Varianta21konec" w:customStyle="1">
    <w:name w:val="Varianta_21_konec"/>
    <w:pPr>
      <w:widowControl/>
      <w:pBdr>
        <w:bottom w:val="single" w:sz="8" w:space="0" w:color="800080"/>
      </w:pBdr>
      <w:bidi w:val="0"/>
      <w:spacing w:before="0" w:after="100"/>
      <w:ind w:start="510"/>
      <w:jc w:val="start"/>
    </w:pPr>
    <w:rPr>
      <w:rFonts w:ascii="Times New Roman" w:hAnsi="Times New Roman" w:eastAsia="Times New Roman" w:cs="Times New Roman"/>
      <w:b/>
      <w:i/>
      <w:color w:val="800080"/>
      <w:kern w:val="0"/>
      <w:sz w:val="20"/>
      <w:szCs w:val="20"/>
      <w:lang w:val="cs-CZ" w:eastAsia="en-US" w:bidi="ar-SA"/>
    </w:rPr>
  </w:style>
  <w:style w:type="paragraph" w:styleId="Ucinnost21start" w:customStyle="1">
    <w:name w:val="Ucinnost_21_start"/>
    <w:pPr>
      <w:widowControl/>
      <w:pBdr>
        <w:top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Ucinnost21konec" w:customStyle="1">
    <w:name w:val="Ucinnost_21_konec"/>
    <w:pPr>
      <w:widowControl/>
      <w:pBdr>
        <w:bottom w:val="single" w:sz="8" w:space="0" w:color="8B0000"/>
      </w:pBdr>
      <w:bidi w:val="0"/>
      <w:spacing w:before="0" w:after="100"/>
      <w:ind w:start="510"/>
      <w:jc w:val="start"/>
    </w:pPr>
    <w:rPr>
      <w:rFonts w:ascii="Times New Roman" w:hAnsi="Times New Roman" w:eastAsia="Times New Roman" w:cs="Times New Roman"/>
      <w:b/>
      <w:i/>
      <w:color w:val="8B0000"/>
      <w:kern w:val="0"/>
      <w:sz w:val="20"/>
      <w:szCs w:val="20"/>
      <w:lang w:val="cs-CZ" w:eastAsia="en-US" w:bidi="ar-SA"/>
    </w:rPr>
  </w:style>
  <w:style w:type="paragraph" w:styleId="Pripominky21start" w:customStyle="1">
    <w:name w:val="Pripominky_21_start"/>
    <w:pPr>
      <w:widowControl/>
      <w:pBdr>
        <w:top w:val="single" w:sz="8" w:space="0" w:color="87CEFA"/>
      </w:pBdr>
      <w:bidi w:val="0"/>
      <w:spacing w:before="0" w:after="100"/>
      <w:ind w:start="510"/>
      <w:jc w:val="end"/>
    </w:pPr>
    <w:rPr>
      <w:rFonts w:ascii="Times New Roman" w:hAnsi="Times New Roman" w:eastAsia="Times New Roman" w:cs="Times New Roman"/>
      <w:b/>
      <w:i/>
      <w:color w:val="87CEFA"/>
      <w:kern w:val="0"/>
      <w:sz w:val="20"/>
      <w:szCs w:val="20"/>
      <w:lang w:val="cs-CZ" w:eastAsia="en-US" w:bidi="ar-SA"/>
    </w:rPr>
  </w:style>
  <w:style w:type="paragraph" w:styleId="22" w:customStyle="1">
    <w:name w:val="22"/>
    <w:pPr>
      <w:widowControl/>
      <w:overflowPunct w:val="false"/>
      <w:bidi w:val="0"/>
      <w:spacing w:before="0" w:after="57"/>
      <w:ind w:hanging="340" w:start="680" w:end="0"/>
      <w:jc w:val="both"/>
    </w:pPr>
    <w:rPr>
      <w:rFonts w:ascii="Times New Roman" w:hAnsi="Times New Roman" w:eastAsia="Times New Roman" w:cs="Times New Roman"/>
      <w:color w:val="auto"/>
      <w:kern w:val="0"/>
      <w:sz w:val="24"/>
      <w:szCs w:val="20"/>
      <w:lang w:val="cs-CZ" w:eastAsia="en-US" w:bidi="ar-SA"/>
    </w:rPr>
  </w:style>
  <w:style w:type="paragraph" w:styleId="Varianta22start" w:customStyle="1">
    <w:name w:val="Varianta_22_start"/>
    <w:pPr>
      <w:widowControl/>
      <w:pBdr>
        <w:top w:val="single" w:sz="8" w:space="0" w:color="800080"/>
      </w:pBdr>
      <w:bidi w:val="0"/>
      <w:spacing w:before="0" w:after="100"/>
      <w:ind w:start="680"/>
      <w:jc w:val="start"/>
    </w:pPr>
    <w:rPr>
      <w:rFonts w:ascii="Times New Roman" w:hAnsi="Times New Roman" w:eastAsia="Times New Roman" w:cs="Times New Roman"/>
      <w:b/>
      <w:i/>
      <w:color w:val="800080"/>
      <w:kern w:val="0"/>
      <w:sz w:val="20"/>
      <w:szCs w:val="20"/>
      <w:lang w:val="cs-CZ" w:eastAsia="en-US" w:bidi="ar-SA"/>
    </w:rPr>
  </w:style>
  <w:style w:type="paragraph" w:styleId="Varianta22konec" w:customStyle="1">
    <w:name w:val="Varianta_22_konec"/>
    <w:pPr>
      <w:widowControl/>
      <w:pBdr>
        <w:bottom w:val="single" w:sz="8" w:space="0" w:color="800080"/>
      </w:pBdr>
      <w:bidi w:val="0"/>
      <w:spacing w:before="0" w:after="100"/>
      <w:ind w:start="680"/>
      <w:jc w:val="start"/>
    </w:pPr>
    <w:rPr>
      <w:rFonts w:ascii="Times New Roman" w:hAnsi="Times New Roman" w:eastAsia="Times New Roman" w:cs="Times New Roman"/>
      <w:b/>
      <w:i/>
      <w:color w:val="800080"/>
      <w:kern w:val="0"/>
      <w:sz w:val="20"/>
      <w:szCs w:val="20"/>
      <w:lang w:val="cs-CZ" w:eastAsia="en-US" w:bidi="ar-SA"/>
    </w:rPr>
  </w:style>
  <w:style w:type="paragraph" w:styleId="Ucinnost22start" w:customStyle="1">
    <w:name w:val="Ucinnost_22_start"/>
    <w:pPr>
      <w:widowControl/>
      <w:pBdr>
        <w:top w:val="single" w:sz="8" w:space="0" w:color="8B0000"/>
      </w:pBdr>
      <w:bidi w:val="0"/>
      <w:spacing w:before="0" w:after="100"/>
      <w:ind w:start="680"/>
      <w:jc w:val="start"/>
    </w:pPr>
    <w:rPr>
      <w:rFonts w:ascii="Times New Roman" w:hAnsi="Times New Roman" w:eastAsia="Times New Roman" w:cs="Times New Roman"/>
      <w:b/>
      <w:i/>
      <w:color w:val="8B0000"/>
      <w:kern w:val="0"/>
      <w:sz w:val="20"/>
      <w:szCs w:val="20"/>
      <w:lang w:val="cs-CZ" w:eastAsia="en-US" w:bidi="ar-SA"/>
    </w:rPr>
  </w:style>
  <w:style w:type="paragraph" w:styleId="Ucinnost22konec" w:customStyle="1">
    <w:name w:val="Ucinnost_22_konec"/>
    <w:pPr>
      <w:widowControl/>
      <w:pBdr>
        <w:bottom w:val="single" w:sz="8" w:space="0" w:color="8B0000"/>
      </w:pBdr>
      <w:bidi w:val="0"/>
      <w:spacing w:before="0" w:after="100"/>
      <w:ind w:start="680"/>
      <w:jc w:val="start"/>
    </w:pPr>
    <w:rPr>
      <w:rFonts w:ascii="Times New Roman" w:hAnsi="Times New Roman" w:eastAsia="Times New Roman" w:cs="Times New Roman"/>
      <w:b/>
      <w:i/>
      <w:color w:val="8B0000"/>
      <w:kern w:val="0"/>
      <w:sz w:val="20"/>
      <w:szCs w:val="20"/>
      <w:lang w:val="cs-CZ" w:eastAsia="en-US" w:bidi="ar-SA"/>
    </w:rPr>
  </w:style>
  <w:style w:type="paragraph" w:styleId="Pripominky22start" w:customStyle="1">
    <w:name w:val="Pripominky_22_start"/>
    <w:pPr>
      <w:widowControl/>
      <w:pBdr>
        <w:top w:val="single" w:sz="8" w:space="0" w:color="87CEFA"/>
      </w:pBdr>
      <w:bidi w:val="0"/>
      <w:spacing w:before="0" w:after="100"/>
      <w:ind w:start="680"/>
      <w:jc w:val="end"/>
    </w:pPr>
    <w:rPr>
      <w:rFonts w:ascii="Times New Roman" w:hAnsi="Times New Roman" w:eastAsia="Times New Roman" w:cs="Times New Roman"/>
      <w:b/>
      <w:i/>
      <w:color w:val="87CEFA"/>
      <w:kern w:val="0"/>
      <w:sz w:val="20"/>
      <w:szCs w:val="20"/>
      <w:lang w:val="cs-CZ" w:eastAsia="en-US" w:bidi="ar-SA"/>
    </w:rPr>
  </w:style>
  <w:style w:type="paragraph" w:styleId="23" w:customStyle="1">
    <w:name w:val="23"/>
    <w:pPr>
      <w:widowControl/>
      <w:overflowPunct w:val="false"/>
      <w:bidi w:val="0"/>
      <w:spacing w:before="57" w:after="57"/>
      <w:ind w:hanging="340" w:start="680" w:end="0"/>
      <w:jc w:val="both"/>
    </w:pPr>
    <w:rPr>
      <w:rFonts w:ascii="Times New Roman" w:hAnsi="Times New Roman" w:eastAsia="Times New Roman" w:cs="Times New Roman"/>
      <w:color w:val="auto"/>
      <w:kern w:val="0"/>
      <w:sz w:val="24"/>
      <w:szCs w:val="20"/>
      <w:lang w:val="cs-CZ" w:eastAsia="en-US" w:bidi="ar-SA"/>
    </w:rPr>
  </w:style>
  <w:style w:type="paragraph" w:styleId="Varianta23start" w:customStyle="1">
    <w:name w:val="Varianta_23_start"/>
    <w:pPr>
      <w:widowControl/>
      <w:pBdr>
        <w:top w:val="single" w:sz="8" w:space="0" w:color="800080"/>
      </w:pBdr>
      <w:bidi w:val="0"/>
      <w:spacing w:before="0" w:after="100"/>
      <w:ind w:start="680"/>
      <w:jc w:val="start"/>
    </w:pPr>
    <w:rPr>
      <w:rFonts w:ascii="Times New Roman" w:hAnsi="Times New Roman" w:eastAsia="Times New Roman" w:cs="Times New Roman"/>
      <w:b/>
      <w:i/>
      <w:color w:val="800080"/>
      <w:kern w:val="0"/>
      <w:sz w:val="20"/>
      <w:szCs w:val="20"/>
      <w:lang w:val="cs-CZ" w:eastAsia="en-US" w:bidi="ar-SA"/>
    </w:rPr>
  </w:style>
  <w:style w:type="paragraph" w:styleId="Varianta23konec" w:customStyle="1">
    <w:name w:val="Varianta_23_konec"/>
    <w:pPr>
      <w:widowControl/>
      <w:pBdr>
        <w:bottom w:val="single" w:sz="8" w:space="0" w:color="800080"/>
      </w:pBdr>
      <w:bidi w:val="0"/>
      <w:spacing w:before="0" w:after="100"/>
      <w:ind w:start="680"/>
      <w:jc w:val="start"/>
    </w:pPr>
    <w:rPr>
      <w:rFonts w:ascii="Times New Roman" w:hAnsi="Times New Roman" w:eastAsia="Times New Roman" w:cs="Times New Roman"/>
      <w:b/>
      <w:i/>
      <w:color w:val="800080"/>
      <w:kern w:val="0"/>
      <w:sz w:val="20"/>
      <w:szCs w:val="20"/>
      <w:lang w:val="cs-CZ" w:eastAsia="en-US" w:bidi="ar-SA"/>
    </w:rPr>
  </w:style>
  <w:style w:type="paragraph" w:styleId="Ucinnost23start" w:customStyle="1">
    <w:name w:val="Ucinnost_23_start"/>
    <w:pPr>
      <w:widowControl/>
      <w:pBdr>
        <w:top w:val="single" w:sz="8" w:space="0" w:color="8B0000"/>
      </w:pBdr>
      <w:bidi w:val="0"/>
      <w:spacing w:before="0" w:after="100"/>
      <w:ind w:start="680"/>
      <w:jc w:val="start"/>
    </w:pPr>
    <w:rPr>
      <w:rFonts w:ascii="Times New Roman" w:hAnsi="Times New Roman" w:eastAsia="Times New Roman" w:cs="Times New Roman"/>
      <w:b/>
      <w:i/>
      <w:color w:val="8B0000"/>
      <w:kern w:val="0"/>
      <w:sz w:val="20"/>
      <w:szCs w:val="20"/>
      <w:lang w:val="cs-CZ" w:eastAsia="en-US" w:bidi="ar-SA"/>
    </w:rPr>
  </w:style>
  <w:style w:type="paragraph" w:styleId="Ucinnost23konec" w:customStyle="1">
    <w:name w:val="Ucinnost_23_konec"/>
    <w:pPr>
      <w:widowControl/>
      <w:pBdr>
        <w:bottom w:val="single" w:sz="8" w:space="0" w:color="8B0000"/>
      </w:pBdr>
      <w:bidi w:val="0"/>
      <w:spacing w:before="0" w:after="100"/>
      <w:ind w:start="680"/>
      <w:jc w:val="start"/>
    </w:pPr>
    <w:rPr>
      <w:rFonts w:ascii="Times New Roman" w:hAnsi="Times New Roman" w:eastAsia="Times New Roman" w:cs="Times New Roman"/>
      <w:b/>
      <w:i/>
      <w:color w:val="8B0000"/>
      <w:kern w:val="0"/>
      <w:sz w:val="20"/>
      <w:szCs w:val="20"/>
      <w:lang w:val="cs-CZ" w:eastAsia="en-US" w:bidi="ar-SA"/>
    </w:rPr>
  </w:style>
  <w:style w:type="paragraph" w:styleId="Pripominky23start" w:customStyle="1">
    <w:name w:val="Pripominky_23_start"/>
    <w:pPr>
      <w:widowControl/>
      <w:pBdr>
        <w:top w:val="single" w:sz="8" w:space="0" w:color="87CEFA"/>
      </w:pBdr>
      <w:bidi w:val="0"/>
      <w:spacing w:before="0" w:after="100"/>
      <w:ind w:start="680"/>
      <w:jc w:val="end"/>
    </w:pPr>
    <w:rPr>
      <w:rFonts w:ascii="Times New Roman" w:hAnsi="Times New Roman" w:eastAsia="Times New Roman" w:cs="Times New Roman"/>
      <w:b/>
      <w:i/>
      <w:color w:val="87CEFA"/>
      <w:kern w:val="0"/>
      <w:sz w:val="20"/>
      <w:szCs w:val="20"/>
      <w:lang w:val="cs-CZ" w:eastAsia="en-US" w:bidi="ar-SA"/>
    </w:rPr>
  </w:style>
  <w:style w:type="paragraph" w:styleId="24" w:customStyle="1">
    <w:name w:val="24"/>
    <w:pPr>
      <w:widowControl/>
      <w:overflowPunct w:val="false"/>
      <w:bidi w:val="0"/>
      <w:spacing w:before="57" w:after="227"/>
      <w:ind w:hanging="340" w:start="680" w:end="0"/>
      <w:jc w:val="both"/>
    </w:pPr>
    <w:rPr>
      <w:rFonts w:ascii="Times New Roman" w:hAnsi="Times New Roman" w:eastAsia="Times New Roman" w:cs="Times New Roman"/>
      <w:color w:val="auto"/>
      <w:kern w:val="0"/>
      <w:sz w:val="24"/>
      <w:szCs w:val="20"/>
      <w:lang w:val="cs-CZ" w:eastAsia="en-US" w:bidi="ar-SA"/>
    </w:rPr>
  </w:style>
  <w:style w:type="paragraph" w:styleId="Varianta24start" w:customStyle="1">
    <w:name w:val="Varianta_24_start"/>
    <w:pPr>
      <w:widowControl/>
      <w:pBdr>
        <w:top w:val="single" w:sz="8" w:space="0" w:color="800080"/>
      </w:pBdr>
      <w:bidi w:val="0"/>
      <w:spacing w:before="0" w:after="100"/>
      <w:ind w:start="680"/>
      <w:jc w:val="start"/>
    </w:pPr>
    <w:rPr>
      <w:rFonts w:ascii="Times New Roman" w:hAnsi="Times New Roman" w:eastAsia="Times New Roman" w:cs="Times New Roman"/>
      <w:b/>
      <w:i/>
      <w:color w:val="800080"/>
      <w:kern w:val="0"/>
      <w:sz w:val="20"/>
      <w:szCs w:val="20"/>
      <w:lang w:val="cs-CZ" w:eastAsia="en-US" w:bidi="ar-SA"/>
    </w:rPr>
  </w:style>
  <w:style w:type="paragraph" w:styleId="Varianta24konec" w:customStyle="1">
    <w:name w:val="Varianta_24_konec"/>
    <w:pPr>
      <w:widowControl/>
      <w:pBdr>
        <w:bottom w:val="single" w:sz="8" w:space="0" w:color="800080"/>
      </w:pBdr>
      <w:bidi w:val="0"/>
      <w:spacing w:before="0" w:after="100"/>
      <w:ind w:start="680"/>
      <w:jc w:val="start"/>
    </w:pPr>
    <w:rPr>
      <w:rFonts w:ascii="Times New Roman" w:hAnsi="Times New Roman" w:eastAsia="Times New Roman" w:cs="Times New Roman"/>
      <w:b/>
      <w:i/>
      <w:color w:val="800080"/>
      <w:kern w:val="0"/>
      <w:sz w:val="20"/>
      <w:szCs w:val="20"/>
      <w:lang w:val="cs-CZ" w:eastAsia="en-US" w:bidi="ar-SA"/>
    </w:rPr>
  </w:style>
  <w:style w:type="paragraph" w:styleId="Ucinnost24start" w:customStyle="1">
    <w:name w:val="Ucinnost_24_start"/>
    <w:pPr>
      <w:widowControl/>
      <w:pBdr>
        <w:top w:val="single" w:sz="8" w:space="0" w:color="8B0000"/>
      </w:pBdr>
      <w:bidi w:val="0"/>
      <w:spacing w:before="0" w:after="100"/>
      <w:ind w:start="680"/>
      <w:jc w:val="start"/>
    </w:pPr>
    <w:rPr>
      <w:rFonts w:ascii="Times New Roman" w:hAnsi="Times New Roman" w:eastAsia="Times New Roman" w:cs="Times New Roman"/>
      <w:b/>
      <w:i/>
      <w:color w:val="8B0000"/>
      <w:kern w:val="0"/>
      <w:sz w:val="20"/>
      <w:szCs w:val="20"/>
      <w:lang w:val="cs-CZ" w:eastAsia="en-US" w:bidi="ar-SA"/>
    </w:rPr>
  </w:style>
  <w:style w:type="paragraph" w:styleId="Ucinnost24konec" w:customStyle="1">
    <w:name w:val="Ucinnost_24_konec"/>
    <w:pPr>
      <w:widowControl/>
      <w:pBdr>
        <w:bottom w:val="single" w:sz="8" w:space="0" w:color="8B0000"/>
      </w:pBdr>
      <w:bidi w:val="0"/>
      <w:spacing w:before="0" w:after="100"/>
      <w:ind w:start="680"/>
      <w:jc w:val="start"/>
    </w:pPr>
    <w:rPr>
      <w:rFonts w:ascii="Times New Roman" w:hAnsi="Times New Roman" w:eastAsia="Times New Roman" w:cs="Times New Roman"/>
      <w:b/>
      <w:i/>
      <w:color w:val="8B0000"/>
      <w:kern w:val="0"/>
      <w:sz w:val="20"/>
      <w:szCs w:val="20"/>
      <w:lang w:val="cs-CZ" w:eastAsia="en-US" w:bidi="ar-SA"/>
    </w:rPr>
  </w:style>
  <w:style w:type="paragraph" w:styleId="Pripominky24start" w:customStyle="1">
    <w:name w:val="Pripominky_24_start"/>
    <w:pPr>
      <w:widowControl/>
      <w:pBdr>
        <w:top w:val="single" w:sz="8" w:space="0" w:color="87CEFA"/>
      </w:pBdr>
      <w:bidi w:val="0"/>
      <w:spacing w:before="0" w:after="100"/>
      <w:ind w:start="680"/>
      <w:jc w:val="end"/>
    </w:pPr>
    <w:rPr>
      <w:rFonts w:ascii="Times New Roman" w:hAnsi="Times New Roman" w:eastAsia="Times New Roman" w:cs="Times New Roman"/>
      <w:b/>
      <w:i/>
      <w:color w:val="87CEFA"/>
      <w:kern w:val="0"/>
      <w:sz w:val="20"/>
      <w:szCs w:val="20"/>
      <w:lang w:val="cs-CZ" w:eastAsia="en-US" w:bidi="ar-SA"/>
    </w:rPr>
  </w:style>
  <w:style w:type="paragraph" w:styleId="25" w:customStyle="1">
    <w:name w:val="25"/>
    <w:pPr>
      <w:widowControl/>
      <w:bidi w:val="0"/>
      <w:spacing w:before="454" w:after="0"/>
      <w:ind w:end="0"/>
      <w:jc w:val="center"/>
    </w:pPr>
    <w:rPr>
      <w:rFonts w:ascii="Times New Roman" w:hAnsi="Times New Roman" w:eastAsia="Times New Roman" w:cs="Times New Roman"/>
      <w:color w:val="auto"/>
      <w:kern w:val="0"/>
      <w:sz w:val="24"/>
      <w:szCs w:val="20"/>
      <w:lang w:val="cs-CZ" w:eastAsia="en-US" w:bidi="ar-SA"/>
    </w:rPr>
  </w:style>
  <w:style w:type="paragraph" w:styleId="26" w:customStyle="1">
    <w:name w:val="26"/>
    <w:pPr>
      <w:widowControl/>
      <w:bidi w:val="0"/>
      <w:spacing w:before="57" w:after="0"/>
      <w:ind w:end="0"/>
      <w:jc w:val="center"/>
    </w:pPr>
    <w:rPr>
      <w:rFonts w:ascii="Times New Roman" w:hAnsi="Times New Roman" w:eastAsia="Times New Roman" w:cs="Times New Roman"/>
      <w:color w:val="auto"/>
      <w:kern w:val="0"/>
      <w:sz w:val="24"/>
      <w:szCs w:val="20"/>
      <w:lang w:val="cs-CZ" w:eastAsia="en-US" w:bidi="ar-SA"/>
    </w:rPr>
  </w:style>
  <w:style w:type="paragraph" w:styleId="27" w:customStyle="1">
    <w:name w:val="27"/>
    <w:pPr>
      <w:widowControl/>
      <w:overflowPunct w:val="false"/>
      <w:bidi w:val="0"/>
      <w:spacing w:before="737" w:after="57"/>
      <w:ind w:hanging="0" w:start="0" w:end="0"/>
      <w:jc w:val="end"/>
    </w:pPr>
    <w:rPr>
      <w:rFonts w:ascii="Times New Roman" w:hAnsi="Times New Roman" w:eastAsia="Times New Roman" w:cs="Times New Roman"/>
      <w:b/>
      <w:color w:val="auto"/>
      <w:kern w:val="0"/>
      <w:sz w:val="26"/>
      <w:szCs w:val="20"/>
      <w:lang w:val="cs-CZ" w:eastAsia="en-US" w:bidi="ar-SA"/>
    </w:rPr>
  </w:style>
  <w:style w:type="paragraph" w:styleId="28" w:customStyle="1">
    <w:name w:val="28"/>
    <w:pPr>
      <w:widowControl/>
      <w:bidi w:val="0"/>
      <w:spacing w:before="0" w:after="113"/>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29" w:customStyle="1">
    <w:name w:val="29"/>
    <w:pPr>
      <w:widowControl/>
      <w:bidi w:val="0"/>
      <w:spacing w:before="0" w:after="113"/>
      <w:ind w:end="0"/>
      <w:jc w:val="both"/>
    </w:pPr>
    <w:rPr>
      <w:rFonts w:ascii="Times New Roman" w:hAnsi="Times New Roman" w:eastAsia="Times New Roman" w:cs="Times New Roman"/>
      <w:color w:val="auto"/>
      <w:kern w:val="0"/>
      <w:sz w:val="24"/>
      <w:szCs w:val="20"/>
      <w:lang w:val="cs-CZ" w:eastAsia="en-US" w:bidi="ar-SA"/>
    </w:rPr>
  </w:style>
  <w:style w:type="paragraph" w:styleId="30" w:customStyle="1">
    <w:name w:val="30"/>
    <w:pPr>
      <w:widowControl/>
      <w:bidi w:val="0"/>
      <w:spacing w:before="113" w:after="57"/>
      <w:ind w:end="0"/>
      <w:jc w:val="both"/>
    </w:pPr>
    <w:rPr>
      <w:rFonts w:ascii="Times New Roman" w:hAnsi="Times New Roman" w:eastAsia="Times New Roman" w:cs="Times New Roman"/>
      <w:color w:val="auto"/>
      <w:kern w:val="0"/>
      <w:sz w:val="24"/>
      <w:szCs w:val="20"/>
      <w:lang w:val="cs-CZ" w:eastAsia="en-US" w:bidi="ar-SA"/>
    </w:rPr>
  </w:style>
  <w:style w:type="paragraph" w:styleId="31" w:customStyle="1">
    <w:name w:val="31"/>
    <w:pPr>
      <w:widowControl/>
      <w:bidi w:val="0"/>
      <w:spacing w:before="0" w:after="57"/>
      <w:ind w:start="850" w:end="850"/>
      <w:jc w:val="center"/>
    </w:pPr>
    <w:rPr>
      <w:rFonts w:ascii="Times New Roman" w:hAnsi="Times New Roman" w:eastAsia="Times New Roman" w:cs="Times New Roman"/>
      <w:b/>
      <w:color w:val="auto"/>
      <w:kern w:val="0"/>
      <w:sz w:val="28"/>
      <w:szCs w:val="20"/>
      <w:lang w:val="cs-CZ" w:eastAsia="en-US" w:bidi="ar-SA"/>
    </w:rPr>
  </w:style>
  <w:style w:type="paragraph" w:styleId="32" w:customStyle="1">
    <w:name w:val="32"/>
    <w:pPr>
      <w:widowControl/>
      <w:bidi w:val="0"/>
      <w:spacing w:before="113" w:after="113"/>
      <w:ind w:end="0"/>
      <w:jc w:val="both"/>
    </w:pPr>
    <w:rPr>
      <w:rFonts w:ascii="Times New Roman" w:hAnsi="Times New Roman" w:eastAsia="Times New Roman" w:cs="Times New Roman"/>
      <w:color w:val="auto"/>
      <w:kern w:val="0"/>
      <w:sz w:val="24"/>
      <w:szCs w:val="20"/>
      <w:lang w:val="cs-CZ" w:eastAsia="en-US" w:bidi="ar-SA"/>
    </w:rPr>
  </w:style>
  <w:style w:type="paragraph" w:styleId="Zhlavazpat">
    <w:name w:val="Záhlaví a zápatí"/>
    <w:basedOn w:val="Normal"/>
    <w:pPr/>
    <w:rPr/>
  </w:style>
  <w:style w:type="paragraph" w:styleId="Header">
    <w:name w:val="header"/>
    <w:basedOn w:val="Zhlavazpat"/>
    <w:pPr/>
    <w:rPr/>
  </w:style>
  <w:style w:type="numbering" w:styleId="Bezseznamu" w:default="1">
    <w:name w:val="Bez seznamu"/>
    <w:semiHidden/>
  </w:style>
  <w:style w:type="table" w:default="1" w:styleId="TableNormal">
    <w:name w:val="Normal Table"/>
    <w:semiHidden/>
    <w:tblPr>
      <w:tblCellMar>
        <w:top w:w="0" w:type="dxa"/>
        <w:left w:w="108" w:type="dxa"/>
        <w:bottom w:w="0" w:type="dxa"/>
        <w:right w:w="108" w:type="dxa"/>
      </w:tblCellMar>
    </w:tblPr>
  </w:style>
  <w:style w:type="table" w:customStyle="1" w:styleId="PouzeNaPrvniStranezahlavi">
    <w:name w:val=" PouzeNaPrvniStrane_zahlavi"/>
    <w:basedOn w:val="TableNormal"/>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pitchFamily="0" charset="1"/>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Template>
  <TotalTime>0</TotalTime>
  <Application>LibreOffice/26.8.1.1$Windows_X86_64 LibreOffice_project/bf6ef2662401c7d6dce671ab4deb26ee0af3a7c1</Application>
  <AppVersion>15.0000</AppVersion>
  <Pages>11</Pages>
  <Words>3960</Words>
  <Characters>23124</Characters>
  <CharactersWithSpaces>26913</CharactersWithSpaces>
  <Paragraphs>284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e-Legislativa</dc:creator>
  <dc:description/>
  <dc:language>en-GB</dc:language>
  <cp:lastModifiedBy/>
  <cp:revision>1</cp:revision>
  <dc:subject/>
  <dc:title>2026-0311-001-TVO-1</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rrelationId">
    <vt:lpwstr>c3aa39b7-cb49-431d-a57a-cea2dc2cc549:7523</vt:lpwstr>
  </property>
  <property fmtid="{D5CDD505-2E9C-101B-9397-08002B2CF9AE}" pid="3" name="IdPodprostoru">
    <vt:lpwstr>246953</vt:lpwstr>
  </property>
  <property fmtid="{D5CDD505-2E9C-101B-9397-08002B2CF9AE}" pid="4" name="JeUzavrena">
    <vt:lpwstr>True</vt:lpwstr>
  </property>
  <property fmtid="{D5CDD505-2E9C-101B-9397-08002B2CF9AE}" pid="5" name="PozadavekId">
    <vt:lpwstr>12ba2ef3-7624-43ca-9de1-bffde0257031</vt:lpwstr>
  </property>
  <property fmtid="{D5CDD505-2E9C-101B-9397-08002B2CF9AE}" pid="6" name="Verze aplikace">
    <vt:lpwstr>v1.0-07.36.HF4</vt:lpwstr>
  </property>
  <property fmtid="{D5CDD505-2E9C-101B-9397-08002B2CF9AE}" pid="7" name="VrstvaNavrhuId">
    <vt:lpwstr>239292</vt:lpwstr>
  </property>
  <property fmtid="{D5CDD505-2E9C-101B-9397-08002B2CF9AE}" pid="8" name="VrstvaObsahuId">
    <vt:lpwstr>110532</vt:lpwstr>
  </property>
</Properties>
</file>