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pacing w:val="24"/>
          <w:sz w:val="24"/>
          <w:szCs w:val="24"/>
        </w:rPr>
      </w:pPr>
      <w:r>
        <w:rPr>
          <w:rFonts w:cs="Times New Roman" w:ascii="Times New Roman" w:hAnsi="Times New Roman"/>
          <w:b/>
          <w:spacing w:val="24"/>
          <w:sz w:val="24"/>
          <w:szCs w:val="24"/>
        </w:rPr>
        <w:t>III.</w:t>
      </w:r>
    </w:p>
    <w:p>
      <w:pPr>
        <w:pStyle w:val="Normal"/>
        <w:jc w:val="center"/>
        <w:rPr>
          <w:rFonts w:ascii="Times New Roman" w:hAnsi="Times New Roman" w:cs="Times New Roman"/>
          <w:spacing w:val="24"/>
          <w:sz w:val="24"/>
          <w:szCs w:val="24"/>
        </w:rPr>
      </w:pPr>
      <w:r>
        <w:rPr>
          <w:rFonts w:cs="Times New Roman" w:ascii="Times New Roman" w:hAnsi="Times New Roman"/>
          <w:spacing w:val="24"/>
          <w:sz w:val="24"/>
          <w:szCs w:val="24"/>
        </w:rPr>
        <w:t>Návrh</w:t>
      </w:r>
    </w:p>
    <w:p>
      <w:pPr>
        <w:pStyle w:val="Nadpiszkona"/>
        <w:keepNext w:val="false"/>
        <w:keepLines w:val="false"/>
        <w:spacing w:lineRule="auto" w:line="240" w:before="0" w:after="120"/>
        <w:rPr>
          <w:rFonts w:ascii="Times New Roman" w:hAnsi="Times New Roman"/>
          <w:bCs/>
          <w:caps/>
          <w:sz w:val="24"/>
          <w:szCs w:val="24"/>
        </w:rPr>
      </w:pPr>
      <w:r>
        <w:rPr>
          <w:rFonts w:ascii="Times New Roman" w:hAnsi="Times New Roman"/>
          <w:bCs/>
          <w:caps/>
          <w:sz w:val="24"/>
          <w:szCs w:val="24"/>
        </w:rPr>
        <w:t>zákon</w:t>
      </w:r>
    </w:p>
    <w:p>
      <w:pPr>
        <w:pStyle w:val="Nadpiszkona"/>
        <w:keepNext w:val="false"/>
        <w:keepLines w:val="false"/>
        <w:spacing w:lineRule="auto" w:line="240" w:before="0" w:after="120"/>
        <w:rPr>
          <w:rFonts w:ascii="Times New Roman" w:hAnsi="Times New Roman"/>
          <w:b w:val="false"/>
          <w:b w:val="false"/>
          <w:sz w:val="24"/>
          <w:szCs w:val="24"/>
        </w:rPr>
      </w:pPr>
      <w:r>
        <w:rPr>
          <w:rFonts w:ascii="Times New Roman" w:hAnsi="Times New Roman"/>
          <w:b w:val="false"/>
          <w:sz w:val="24"/>
          <w:szCs w:val="24"/>
        </w:rPr>
        <w:t>ze dne………… 2021</w:t>
      </w:r>
    </w:p>
    <w:p>
      <w:pPr>
        <w:pStyle w:val="Normal"/>
        <w:numPr>
          <w:ilvl w:val="0"/>
          <w:numId w:val="0"/>
        </w:numPr>
        <w:tabs>
          <w:tab w:val="clear" w:pos="708"/>
          <w:tab w:val="left" w:pos="9356" w:leader="none"/>
        </w:tabs>
        <w:spacing w:before="0" w:after="360"/>
        <w:jc w:val="center"/>
        <w:outlineLvl w:val="4"/>
        <w:rPr>
          <w:rFonts w:ascii="Times New Roman" w:hAnsi="Times New Roman" w:cs="Times New Roman"/>
          <w:b/>
          <w:b/>
          <w:sz w:val="24"/>
          <w:szCs w:val="24"/>
        </w:rPr>
      </w:pPr>
      <w:r>
        <w:rPr>
          <w:rFonts w:cs="Times New Roman" w:ascii="Times New Roman" w:hAnsi="Times New Roman"/>
          <w:b/>
          <w:sz w:val="24"/>
          <w:szCs w:val="24"/>
        </w:rPr>
        <w:t xml:space="preserve">o zvýšení náhrady příjmu při nařízené karanténě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Parlament se usnesl na tomto zákoně České republiky:</w:t>
      </w:r>
    </w:p>
    <w:p>
      <w:pPr>
        <w:pStyle w:val="Normal"/>
        <w:spacing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240"/>
        <w:jc w:val="center"/>
        <w:rPr>
          <w:rFonts w:ascii="Times New Roman" w:hAnsi="Times New Roman" w:cs="Times New Roman"/>
          <w:bCs/>
          <w:sz w:val="24"/>
          <w:szCs w:val="24"/>
        </w:rPr>
      </w:pPr>
      <w:r>
        <w:rPr>
          <w:rFonts w:cs="Times New Roman" w:ascii="Times New Roman" w:hAnsi="Times New Roman"/>
          <w:bCs/>
          <w:sz w:val="24"/>
          <w:szCs w:val="24"/>
        </w:rPr>
        <w:t>§ 1</w:t>
      </w:r>
    </w:p>
    <w:p>
      <w:pPr>
        <w:pStyle w:val="Normal"/>
        <w:widowControl w:val="false"/>
        <w:suppressAutoHyphens w:val="true"/>
        <w:overflowPunct w:val="true"/>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(1) Tento zákon upravuje </w:t>
      </w:r>
    </w:p>
    <w:p>
      <w:pPr>
        <w:pStyle w:val="ListParagraph"/>
        <w:widowControl w:val="false"/>
        <w:numPr>
          <w:ilvl w:val="0"/>
          <w:numId w:val="3"/>
        </w:numPr>
        <w:suppressAutoHyphens w:val="true"/>
        <w:overflowPunct w:val="true"/>
        <w:jc w:val="both"/>
        <w:rPr>
          <w:rFonts w:ascii="Times New Roman" w:hAnsi="Times New Roman" w:cs="Times New Roman"/>
          <w:sz w:val="24"/>
          <w:szCs w:val="24"/>
        </w:rPr>
      </w:pPr>
      <w:r>
        <w:rPr>
          <w:rFonts w:cs="Times New Roman" w:ascii="Times New Roman" w:hAnsi="Times New Roman"/>
          <w:sz w:val="24"/>
          <w:szCs w:val="24"/>
        </w:rPr>
        <w:t>zvýšení náhrady příjmu poskytované zaměstnanci zaměstnavatelem v období prvních 14 kalendářních dnů trvání nařízené karantény (dále jen „náhrada příjmu“),</w:t>
      </w:r>
    </w:p>
    <w:p>
      <w:pPr>
        <w:pStyle w:val="ListParagraph"/>
        <w:widowControl w:val="false"/>
        <w:numPr>
          <w:ilvl w:val="0"/>
          <w:numId w:val="1"/>
        </w:numPr>
        <w:suppressAutoHyphens w:val="true"/>
        <w:overflowPunct w:val="tru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placení pojistného na sociální zabezpečení a příspěvku na státní politiku zaměstnanosti (dále jen „pojistné“) zaměstnavatelem ve vztahu k poskytnutí náhrady příjmu.</w:t>
      </w:r>
    </w:p>
    <w:p>
      <w:pPr>
        <w:pStyle w:val="Normal"/>
        <w:widowControl w:val="false"/>
        <w:suppressAutoHyphens w:val="true"/>
        <w:overflowPunct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true"/>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 Nárok na zvýšení náhrady příjmu trvá nejdéle do 30. června 2021.</w:t>
      </w:r>
    </w:p>
    <w:p>
      <w:pPr>
        <w:pStyle w:val="Normal"/>
        <w:widowControl w:val="false"/>
        <w:suppressAutoHyphens w:val="true"/>
        <w:overflowPunct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overflowPunct w:val="true"/>
        <w:spacing w:before="0" w:after="240"/>
        <w:jc w:val="both"/>
        <w:rPr>
          <w:rFonts w:ascii="Times New Roman" w:hAnsi="Times New Roman" w:cs="Times New Roman"/>
          <w:sz w:val="24"/>
          <w:szCs w:val="24"/>
        </w:rPr>
      </w:pPr>
      <w:r>
        <w:rPr>
          <w:rFonts w:cs="Times New Roman" w:ascii="Times New Roman" w:hAnsi="Times New Roman"/>
          <w:sz w:val="24"/>
          <w:szCs w:val="24"/>
        </w:rPr>
        <w:tab/>
        <w:t xml:space="preserve"> (3) </w:t>
      </w:r>
      <w:r>
        <w:rPr>
          <w:rFonts w:eastAsia="Times New Roman" w:cs="Times New Roman" w:ascii="Times New Roman" w:hAnsi="Times New Roman"/>
          <w:sz w:val="24"/>
          <w:szCs w:val="24"/>
          <w:lang w:eastAsia="cs-CZ"/>
        </w:rPr>
        <w:t>Pro účely tohoto zákona se karanténou rozumí též izolace podle zákona o ochraně veřejného zdraví</w:t>
      </w:r>
      <w:r>
        <w:rPr>
          <w:rStyle w:val="Ukotvenpoznmkypodarou"/>
          <w:rFonts w:eastAsia="Times New Roman" w:cs="Times New Roman" w:ascii="Times New Roman" w:hAnsi="Times New Roman"/>
          <w:sz w:val="20"/>
          <w:szCs w:val="20"/>
          <w:lang w:eastAsia="cs-CZ"/>
        </w:rPr>
        <w:footnoteReference w:customMarkFollows="1" w:id="2"/>
        <w:t>1)</w:t>
      </w:r>
      <w:r>
        <w:rPr>
          <w:rFonts w:eastAsia="Times New Roman" w:cs="Times New Roman" w:ascii="Times New Roman" w:hAnsi="Times New Roman"/>
          <w:sz w:val="20"/>
          <w:szCs w:val="20"/>
          <w:lang w:eastAsia="cs-CZ"/>
        </w:rPr>
        <w:t>.</w:t>
      </w:r>
    </w:p>
    <w:p>
      <w:pPr>
        <w:pStyle w:val="Normal"/>
        <w:ind w:left="284" w:hanging="0"/>
        <w:jc w:val="center"/>
        <w:rPr>
          <w:rFonts w:ascii="Times New Roman" w:hAnsi="Times New Roman" w:cs="Times New Roman"/>
          <w:b/>
          <w:b/>
          <w:bCs/>
          <w:sz w:val="24"/>
          <w:szCs w:val="24"/>
        </w:rPr>
      </w:pPr>
      <w:r>
        <w:rPr>
          <w:rFonts w:cs="Times New Roman" w:ascii="Times New Roman" w:hAnsi="Times New Roman"/>
          <w:b/>
          <w:bCs/>
          <w:sz w:val="24"/>
          <w:szCs w:val="24"/>
        </w:rPr>
        <w:t>Zvýšení náhrady příjmu při nařízené karanténě</w:t>
      </w:r>
    </w:p>
    <w:p>
      <w:pPr>
        <w:pStyle w:val="Normal"/>
        <w:spacing w:before="0" w:after="240"/>
        <w:jc w:val="center"/>
        <w:rPr>
          <w:rFonts w:ascii="Times New Roman" w:hAnsi="Times New Roman" w:cs="Times New Roman"/>
          <w:bCs/>
          <w:sz w:val="24"/>
          <w:szCs w:val="24"/>
        </w:rPr>
      </w:pPr>
      <w:r>
        <w:rPr>
          <w:rFonts w:cs="Times New Roman" w:ascii="Times New Roman" w:hAnsi="Times New Roman"/>
          <w:bCs/>
          <w:sz w:val="24"/>
          <w:szCs w:val="24"/>
        </w:rPr>
        <w:t>§ 2</w:t>
      </w:r>
    </w:p>
    <w:p>
      <w:pPr>
        <w:pStyle w:val="Normal"/>
        <w:spacing w:lineRule="auto" w:line="240" w:before="0" w:after="240"/>
        <w:ind w:firstLine="708"/>
        <w:jc w:val="both"/>
        <w:rPr>
          <w:rFonts w:ascii="Times New Roman" w:hAnsi="Times New Roman" w:cs="Times New Roman"/>
          <w:sz w:val="24"/>
          <w:szCs w:val="24"/>
        </w:rPr>
      </w:pPr>
      <w:r>
        <w:rPr>
          <w:rFonts w:cs="Times New Roman" w:ascii="Times New Roman" w:hAnsi="Times New Roman"/>
          <w:sz w:val="24"/>
          <w:szCs w:val="24"/>
        </w:rPr>
        <w:t>Zaměstnanci, kterému byla nařízena karanténa a který má z tohoto důvodu nárok na náhradu mzdy, platu nebo odměny z dohody o pracích konaných mimo pracovní poměr podle § 192 až 194 zákoníku práce, přísluší tato náhrada ve výši 90 % průměrného výdělku. Ostatní podmínky a způsob úpravy průměrného výdělku stanovené v § 192 až 194 zákoníku práce tím nejsou dotčeny.</w:t>
      </w:r>
    </w:p>
    <w:p>
      <w:pPr>
        <w:pStyle w:val="Normal"/>
        <w:spacing w:before="0" w:after="240"/>
        <w:jc w:val="center"/>
        <w:rPr>
          <w:rFonts w:ascii="Times New Roman" w:hAnsi="Times New Roman" w:cs="Times New Roman"/>
          <w:bCs/>
          <w:sz w:val="24"/>
          <w:szCs w:val="24"/>
        </w:rPr>
      </w:pPr>
      <w:r>
        <w:rPr>
          <w:rFonts w:cs="Times New Roman" w:ascii="Times New Roman" w:hAnsi="Times New Roman"/>
          <w:bCs/>
          <w:sz w:val="24"/>
          <w:szCs w:val="24"/>
        </w:rPr>
        <w:t>§ 3</w:t>
      </w:r>
    </w:p>
    <w:p>
      <w:pPr>
        <w:pStyle w:val="Normal"/>
        <w:spacing w:before="0" w:after="240"/>
        <w:ind w:firstLine="708"/>
        <w:jc w:val="both"/>
        <w:rPr>
          <w:rFonts w:ascii="Times New Roman" w:hAnsi="Times New Roman" w:cs="Times New Roman"/>
          <w:sz w:val="24"/>
          <w:szCs w:val="24"/>
        </w:rPr>
      </w:pPr>
      <w:r>
        <w:rPr>
          <w:rFonts w:cs="Times New Roman" w:ascii="Times New Roman" w:hAnsi="Times New Roman"/>
          <w:sz w:val="24"/>
          <w:szCs w:val="24"/>
        </w:rPr>
        <w:t>Dalším osobám, které jsou účastny nemocenského pojištění jako zaměstnanci</w:t>
      </w:r>
      <w:r>
        <w:rPr>
          <w:rStyle w:val="Ukotvenpoznmkypodarou"/>
          <w:rFonts w:cs="Times New Roman" w:ascii="Times New Roman" w:hAnsi="Times New Roman"/>
          <w:sz w:val="20"/>
          <w:szCs w:val="20"/>
        </w:rPr>
        <w:footnoteReference w:customMarkFollows="1" w:id="3"/>
        <w:t>2)</w:t>
      </w:r>
      <w:r>
        <w:rPr>
          <w:rFonts w:cs="Times New Roman" w:ascii="Times New Roman" w:hAnsi="Times New Roman"/>
          <w:sz w:val="24"/>
          <w:szCs w:val="24"/>
        </w:rPr>
        <w:t xml:space="preserve"> a mají podle jiného právního předpisu</w:t>
      </w:r>
      <w:r>
        <w:rPr>
          <w:rStyle w:val="Ukotvenpoznmkypodarou"/>
          <w:rFonts w:cs="Times New Roman" w:ascii="Times New Roman" w:hAnsi="Times New Roman"/>
          <w:sz w:val="20"/>
          <w:szCs w:val="20"/>
        </w:rPr>
        <w:footnoteReference w:customMarkFollows="1" w:id="4"/>
        <w:t>3)</w:t>
      </w:r>
      <w:r>
        <w:rPr>
          <w:rFonts w:cs="Times New Roman" w:ascii="Times New Roman" w:hAnsi="Times New Roman"/>
          <w:sz w:val="20"/>
          <w:szCs w:val="20"/>
        </w:rPr>
        <w:t xml:space="preserve"> </w:t>
      </w:r>
      <w:r>
        <w:rPr>
          <w:rFonts w:cs="Times New Roman" w:ascii="Times New Roman" w:hAnsi="Times New Roman"/>
          <w:sz w:val="24"/>
          <w:szCs w:val="24"/>
        </w:rPr>
        <w:t>v době nařízené karantény nárok na plat ve snížené výši nebo odměnu ve snížené výši, přísluší snížený plat nebo snížená odměna ve výši 90 %. Ostatní podmínky pro stanovení sníženého platu nebo snížené odměny podle jiných právních předpisů tím nejsou dotčeny.</w:t>
      </w:r>
    </w:p>
    <w:p>
      <w:pPr>
        <w:pStyle w:val="NoSpacing"/>
        <w:spacing w:before="0" w:after="240"/>
        <w:jc w:val="center"/>
        <w:rPr>
          <w:rFonts w:ascii="Times New Roman" w:hAnsi="Times New Roman" w:cs="Times New Roman"/>
          <w:bCs/>
          <w:sz w:val="24"/>
          <w:szCs w:val="24"/>
        </w:rPr>
      </w:pPr>
      <w:r>
        <w:rPr>
          <w:rFonts w:cs="Times New Roman" w:ascii="Times New Roman" w:hAnsi="Times New Roman"/>
          <w:bCs/>
          <w:sz w:val="24"/>
          <w:szCs w:val="24"/>
        </w:rPr>
        <w:t>§ 4</w:t>
      </w:r>
    </w:p>
    <w:p>
      <w:pPr>
        <w:pStyle w:val="Normal"/>
        <w:spacing w:before="0" w:after="360"/>
        <w:ind w:firstLine="708"/>
        <w:jc w:val="both"/>
        <w:rPr>
          <w:rFonts w:ascii="Times New Roman" w:hAnsi="Times New Roman" w:cs="Times New Roman"/>
          <w:sz w:val="24"/>
          <w:szCs w:val="24"/>
        </w:rPr>
      </w:pPr>
      <w:r>
        <w:rPr>
          <w:rFonts w:cs="Times New Roman" w:ascii="Times New Roman" w:hAnsi="Times New Roman"/>
          <w:sz w:val="24"/>
          <w:szCs w:val="24"/>
        </w:rPr>
        <w:t>Nárok na zvýšení náhrady přijmu podle § 2 a 3 nepřísluší, je-li karanténa nařízena v období do 5 dnů ode dne návratu ze zahraničí, s výjimkou pracovních nebo služebních cest.</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Placení pojistného na sociální zabezpečení a příspěvku na státní politiku zaměstnanosti zaměstnavatelem</w:t>
      </w:r>
    </w:p>
    <w:p>
      <w:pPr>
        <w:pStyle w:val="NoSpacing"/>
        <w:spacing w:before="0" w:after="240"/>
        <w:jc w:val="center"/>
        <w:rPr>
          <w:rFonts w:ascii="Times New Roman" w:hAnsi="Times New Roman" w:cs="Times New Roman"/>
          <w:bCs/>
          <w:sz w:val="24"/>
          <w:szCs w:val="24"/>
        </w:rPr>
      </w:pPr>
      <w:r>
        <w:rPr>
          <w:rFonts w:cs="Times New Roman" w:ascii="Times New Roman" w:hAnsi="Times New Roman"/>
          <w:bCs/>
          <w:sz w:val="24"/>
          <w:szCs w:val="24"/>
        </w:rPr>
        <w:t>§ 5</w:t>
      </w:r>
    </w:p>
    <w:p>
      <w:pPr>
        <w:pStyle w:val="NoSpacing"/>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(1) Zaměstnavatel odečte z částky pojistného odváděného za kalendářní měsíc částku, kterou zúčtoval zaměstnancům na náhradě příjmu podle § 2 a 3.</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ab/>
        <w:t xml:space="preserve">(2) Zaměstnavatel má nárok na odečet podle odstavce 1, jen pokud náhradu příjmu podle tohoto zákona vyplatil nejpozději do konce druhého kalendářního měsíce následujícího po kalendářním měsíci, ve kterém si náhradu příjmu odečetl od pojistného. </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ab/>
        <w:t>(3) Nárok na odečet podle odstavce 1 lze uplatnit do 3 kalendářních měsíců po skončení karantény.</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i/>
          <w:i/>
          <w:iCs/>
          <w:sz w:val="24"/>
          <w:szCs w:val="24"/>
        </w:rPr>
      </w:pPr>
      <w:r>
        <w:rPr>
          <w:rFonts w:cs="Times New Roman" w:ascii="Times New Roman" w:hAnsi="Times New Roman"/>
          <w:sz w:val="24"/>
          <w:szCs w:val="24"/>
        </w:rPr>
        <w:tab/>
        <w:t xml:space="preserve">(4) Do částky zúčtované zaměstnancům na náhradě příjmu se nezahrnuje ta část náhrady příjmu, která byla dohodnuta nebo stanovena nad výši, na kterou zaměstnanci vznikl nárok podle § 2 a 3. </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ab/>
        <w:t xml:space="preserve">(5) Zaměstnavatel uplatňuje odečet podle odstavce 1 na předepsaném tiskopisu podle § 9 odst. 2 zákona o pojistném </w:t>
      </w:r>
      <w:bookmarkStart w:id="2" w:name="_Hlk62315794"/>
      <w:r>
        <w:rPr>
          <w:rFonts w:cs="Times New Roman" w:ascii="Times New Roman" w:hAnsi="Times New Roman"/>
          <w:sz w:val="24"/>
          <w:szCs w:val="24"/>
        </w:rPr>
        <w:t>na sociální zabezpečení a příspěvku na státní politiku zaměstnanosti</w:t>
      </w:r>
      <w:bookmarkEnd w:id="2"/>
      <w:r>
        <w:rPr>
          <w:rFonts w:cs="Times New Roman" w:ascii="Times New Roman" w:hAnsi="Times New Roman"/>
          <w:sz w:val="24"/>
          <w:szCs w:val="24"/>
        </w:rPr>
        <w:t>; na tomto tiskopisu uvádí též údaj o počtu zaměstnanců, za které tento odečet uplatňuje,</w:t>
      </w:r>
      <w:r>
        <w:rPr>
          <w:rFonts w:cs="Times New Roman" w:ascii="Times New Roman" w:hAnsi="Times New Roman"/>
          <w:color w:val="00B050"/>
          <w:sz w:val="24"/>
          <w:szCs w:val="24"/>
        </w:rPr>
        <w:t xml:space="preserve"> </w:t>
      </w:r>
      <w:r>
        <w:rPr>
          <w:rFonts w:cs="Times New Roman" w:ascii="Times New Roman" w:hAnsi="Times New Roman"/>
          <w:sz w:val="24"/>
          <w:szCs w:val="24"/>
        </w:rPr>
        <w:t>a úhrn náhrady příjmu, který od pojistného odečítá.</w:t>
      </w:r>
    </w:p>
    <w:p>
      <w:pPr>
        <w:pStyle w:val="NoSpacing"/>
        <w:spacing w:lineRule="auto" w:line="276"/>
        <w:jc w:val="both"/>
        <w:rPr>
          <w:rFonts w:ascii="Times New Roman" w:hAnsi="Times New Roman" w:cs="Times New Roman"/>
          <w:i/>
          <w:i/>
          <w:iCs/>
          <w:sz w:val="24"/>
          <w:szCs w:val="24"/>
        </w:rPr>
      </w:pPr>
      <w:r>
        <w:rPr>
          <w:rFonts w:cs="Times New Roman" w:ascii="Times New Roman" w:hAnsi="Times New Roman"/>
          <w:i/>
          <w:iCs/>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ab/>
        <w:t>(6) Je-li částka, kterou v kalendářním měsíci zaměstnavatel odečítá z částky pojistného podle odstavce 1, vyšší než pojistné za tento kalendářní měsíc, považuje se tento rozdíl za přeplatek na pojistném. Za žádost o úhradu tohoto rozdílu se považuje podání tiskopisu podle § 9 odst. 2 zákona o pojistném</w:t>
      </w:r>
      <w:r>
        <w:rPr/>
        <w:t xml:space="preserve"> </w:t>
      </w:r>
      <w:r>
        <w:rPr>
          <w:rFonts w:cs="Times New Roman" w:ascii="Times New Roman" w:hAnsi="Times New Roman"/>
          <w:sz w:val="24"/>
          <w:szCs w:val="24"/>
        </w:rPr>
        <w:t>na sociální zabezpečení a příspěvku na státní politiku zaměstnanosti.</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ab/>
        <w:t>(7) Byla-li z částky pojistného odečtena vyšší částka, než měla být podle odstavce 1 odečtena, nebo provedl-li zaměstnavatel odečet, aniž byly splněny podmínky pro tento odečet, považuje se částka, o kterou bylo pojistné takto zkráceno, za dluh na pojistném. Byla-li z částky pojistného odečtena nižší částka, než měla být podle odstavce 1 odečtena, považuje se zbývající částka, která měla být odečtena z pojistného, za přeplatek na pojistném.</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before="0" w:after="240"/>
        <w:jc w:val="center"/>
        <w:rPr>
          <w:rFonts w:ascii="Times New Roman" w:hAnsi="Times New Roman" w:cs="Times New Roman"/>
          <w:bCs/>
          <w:sz w:val="24"/>
          <w:szCs w:val="24"/>
        </w:rPr>
      </w:pPr>
      <w:r>
        <w:rPr>
          <w:rFonts w:cs="Times New Roman" w:ascii="Times New Roman" w:hAnsi="Times New Roman"/>
          <w:bCs/>
          <w:sz w:val="24"/>
          <w:szCs w:val="24"/>
        </w:rPr>
        <w:t>§ 6</w:t>
      </w:r>
    </w:p>
    <w:p>
      <w:pPr>
        <w:pStyle w:val="NoSpacing"/>
        <w:spacing w:lineRule="auto" w:line="276" w:before="0" w:after="240"/>
        <w:jc w:val="both"/>
        <w:rPr>
          <w:rFonts w:ascii="Times New Roman" w:hAnsi="Times New Roman" w:cs="Times New Roman"/>
          <w:sz w:val="24"/>
          <w:szCs w:val="24"/>
        </w:rPr>
      </w:pPr>
      <w:r>
        <w:rPr>
          <w:rFonts w:cs="Times New Roman" w:ascii="Times New Roman" w:hAnsi="Times New Roman"/>
          <w:sz w:val="24"/>
          <w:szCs w:val="24"/>
        </w:rPr>
        <w:tab/>
        <w:t>Není-li v tomto zákoně stanoveno jinak, postupuje se ve věcech pojistného podle zákona o pojistném na sociální zabezpečení a příspěvku na státní politiku zaměstnanosti a zákona o organizaci a provádění sociálního zabezpečení.</w:t>
      </w:r>
    </w:p>
    <w:p>
      <w:pPr>
        <w:pStyle w:val="NoSpacing"/>
        <w:spacing w:before="0" w:after="240"/>
        <w:jc w:val="center"/>
        <w:rPr>
          <w:rFonts w:ascii="Times New Roman" w:hAnsi="Times New Roman" w:cs="Times New Roman"/>
          <w:b/>
          <w:b/>
          <w:bCs/>
          <w:sz w:val="24"/>
          <w:szCs w:val="24"/>
        </w:rPr>
      </w:pPr>
      <w:r>
        <w:rPr>
          <w:rFonts w:cs="Times New Roman" w:ascii="Times New Roman" w:hAnsi="Times New Roman"/>
          <w:b/>
          <w:bCs/>
          <w:sz w:val="24"/>
          <w:szCs w:val="24"/>
        </w:rPr>
        <w:t>Společná ustanovení</w:t>
      </w:r>
    </w:p>
    <w:p>
      <w:pPr>
        <w:pStyle w:val="NoSpacing"/>
        <w:spacing w:lineRule="auto" w:line="276" w:before="0" w:after="240"/>
        <w:jc w:val="center"/>
        <w:rPr>
          <w:rFonts w:ascii="Times New Roman" w:hAnsi="Times New Roman" w:cs="Times New Roman"/>
          <w:bCs/>
          <w:sz w:val="24"/>
          <w:szCs w:val="24"/>
        </w:rPr>
      </w:pPr>
      <w:r>
        <w:rPr>
          <w:rFonts w:cs="Times New Roman" w:ascii="Times New Roman" w:hAnsi="Times New Roman"/>
          <w:bCs/>
          <w:sz w:val="24"/>
          <w:szCs w:val="24"/>
        </w:rPr>
        <w:t>§ 7</w:t>
      </w:r>
    </w:p>
    <w:p>
      <w:pPr>
        <w:pStyle w:val="NoSpacing"/>
        <w:spacing w:lineRule="auto" w:line="276" w:before="0" w:after="240"/>
        <w:jc w:val="both"/>
        <w:rPr>
          <w:rFonts w:ascii="Times New Roman" w:hAnsi="Times New Roman" w:cs="Times New Roman"/>
          <w:sz w:val="24"/>
          <w:szCs w:val="24"/>
        </w:rPr>
      </w:pPr>
      <w:r>
        <w:rPr>
          <w:rFonts w:cs="Times New Roman" w:ascii="Times New Roman" w:hAnsi="Times New Roman"/>
          <w:sz w:val="24"/>
          <w:szCs w:val="24"/>
        </w:rPr>
        <w:tab/>
        <w:t>Ustanovení § 6 odst. 9 písm. t) zákona o daních příjmů se vztahuje i na náhradu příjmu zvýšenou podle tohoto zákona.</w:t>
      </w:r>
    </w:p>
    <w:p>
      <w:pPr>
        <w:pStyle w:val="NoSpacing"/>
        <w:spacing w:lineRule="auto" w:line="276" w:before="0" w:after="240"/>
        <w:jc w:val="center"/>
        <w:rPr>
          <w:rFonts w:ascii="Times New Roman" w:hAnsi="Times New Roman" w:cs="Times New Roman"/>
          <w:bCs/>
          <w:sz w:val="24"/>
          <w:szCs w:val="24"/>
        </w:rPr>
      </w:pPr>
      <w:r>
        <w:rPr>
          <w:rFonts w:cs="Times New Roman" w:ascii="Times New Roman" w:hAnsi="Times New Roman"/>
          <w:bCs/>
          <w:sz w:val="24"/>
          <w:szCs w:val="24"/>
        </w:rPr>
        <w:t>§ 8</w:t>
      </w:r>
    </w:p>
    <w:p>
      <w:pPr>
        <w:pStyle w:val="NoSpacing"/>
        <w:spacing w:lineRule="auto" w:line="276" w:before="0" w:after="24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Má-li zaměstnavatel právo na odečet z pojistného podle § 5, současně mu nepřísluší z důvodu téže překážky v práci příspěvek na částečnou úhradu nákladů na náhrady mezd v rámci cíleného programu podle § 120 zákona o zaměstnanosti.</w:t>
      </w:r>
    </w:p>
    <w:p>
      <w:pPr>
        <w:pStyle w:val="Normal"/>
        <w:spacing w:lineRule="auto" w:line="240" w:before="0" w:after="240"/>
        <w:jc w:val="center"/>
        <w:rPr>
          <w:rFonts w:ascii="Times New Roman" w:hAnsi="Times New Roman" w:cs="Times New Roman"/>
          <w:bCs/>
          <w:sz w:val="24"/>
          <w:szCs w:val="24"/>
        </w:rPr>
      </w:pPr>
      <w:r>
        <w:rPr>
          <w:rFonts w:cs="Times New Roman" w:ascii="Times New Roman" w:hAnsi="Times New Roman"/>
          <w:bCs/>
          <w:sz w:val="24"/>
          <w:szCs w:val="24"/>
        </w:rPr>
        <w:t>§ 9</w:t>
      </w:r>
    </w:p>
    <w:p>
      <w:pPr>
        <w:pStyle w:val="NoSpacing"/>
        <w:spacing w:lineRule="auto" w:line="276" w:before="0" w:after="240"/>
        <w:jc w:val="both"/>
        <w:rPr>
          <w:rFonts w:ascii="Times New Roman" w:hAnsi="Times New Roman" w:cs="Times New Roman"/>
          <w:sz w:val="24"/>
          <w:szCs w:val="24"/>
        </w:rPr>
      </w:pPr>
      <w:r>
        <w:rPr>
          <w:rFonts w:cs="Times New Roman" w:ascii="Times New Roman" w:hAnsi="Times New Roman"/>
          <w:sz w:val="24"/>
          <w:szCs w:val="24"/>
        </w:rPr>
        <w:tab/>
        <w:t xml:space="preserve">Česká správa sociálního zabezpečení neprodleně zasílá zaměstnavateli na jeho žádost informaci, že od ošetřujícího lékaře obdržela informaci o nařízení karantény zaměstnanci a o jejím trvání nebo ukončení; pro podání žádosti a sdělení informace platí § 116a zákona o nemocenském pojištění obdobně.  Za žádost zaměstnavatele podle věty první se považuje též žádost o sdělení informace o vzniku dočasné pracovní neschopnosti již podaná podle § 116a zákona o nemocenském pojištění. </w:t>
      </w:r>
    </w:p>
    <w:p>
      <w:pPr>
        <w:pStyle w:val="Normal"/>
        <w:spacing w:lineRule="auto" w:line="240" w:before="0" w:after="240"/>
        <w:jc w:val="center"/>
        <w:rPr>
          <w:rFonts w:ascii="Times New Roman" w:hAnsi="Times New Roman" w:cs="Times New Roman"/>
          <w:bCs/>
          <w:sz w:val="24"/>
          <w:szCs w:val="24"/>
        </w:rPr>
      </w:pPr>
      <w:r>
        <w:rPr>
          <w:rFonts w:cs="Times New Roman" w:ascii="Times New Roman" w:hAnsi="Times New Roman"/>
          <w:bCs/>
          <w:sz w:val="24"/>
          <w:szCs w:val="24"/>
        </w:rPr>
        <w:t>§ 10</w:t>
      </w:r>
    </w:p>
    <w:p>
      <w:pPr>
        <w:pStyle w:val="Normal"/>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t>Přechodné ustanovení</w:t>
      </w:r>
    </w:p>
    <w:p>
      <w:pPr>
        <w:pStyle w:val="Normal"/>
        <w:spacing w:before="0" w:after="240"/>
        <w:ind w:firstLine="708"/>
        <w:jc w:val="both"/>
        <w:rPr>
          <w:rFonts w:ascii="Times New Roman" w:hAnsi="Times New Roman" w:cs="Times New Roman"/>
          <w:sz w:val="24"/>
          <w:szCs w:val="24"/>
        </w:rPr>
      </w:pPr>
      <w:r>
        <w:rPr>
          <w:rFonts w:cs="Times New Roman" w:ascii="Times New Roman" w:hAnsi="Times New Roman"/>
          <w:sz w:val="24"/>
          <w:szCs w:val="24"/>
        </w:rPr>
        <w:t>Náhrada příjmu podle § 2 a 3 nepřísluší zaměstnanci v případě, že mu byla nařízena karanténa přede dnem nabytí účinnosti tohoto zákona.</w:t>
      </w:r>
    </w:p>
    <w:p>
      <w:pPr>
        <w:pStyle w:val="Normal"/>
        <w:spacing w:before="0" w:after="240"/>
        <w:jc w:val="center"/>
        <w:rPr>
          <w:rFonts w:ascii="Times New Roman" w:hAnsi="Times New Roman" w:cs="Times New Roman"/>
          <w:sz w:val="24"/>
          <w:szCs w:val="24"/>
        </w:rPr>
      </w:pPr>
      <w:r>
        <w:rPr>
          <w:rFonts w:cs="Times New Roman" w:ascii="Times New Roman" w:hAnsi="Times New Roman"/>
          <w:sz w:val="24"/>
          <w:szCs w:val="24"/>
        </w:rPr>
        <w:t>§ 11</w:t>
      </w:r>
    </w:p>
    <w:p>
      <w:pPr>
        <w:pStyle w:val="NoSpacing"/>
        <w:spacing w:lineRule="auto" w:line="276" w:before="0" w:after="240"/>
        <w:jc w:val="center"/>
        <w:rPr>
          <w:rFonts w:ascii="Times New Roman" w:hAnsi="Times New Roman" w:cs="Times New Roman"/>
          <w:b/>
          <w:b/>
          <w:bCs/>
          <w:sz w:val="24"/>
          <w:szCs w:val="24"/>
        </w:rPr>
      </w:pPr>
      <w:r>
        <w:rPr>
          <w:rFonts w:cs="Times New Roman" w:ascii="Times New Roman" w:hAnsi="Times New Roman"/>
          <w:b/>
          <w:bCs/>
          <w:sz w:val="24"/>
          <w:szCs w:val="24"/>
        </w:rPr>
        <w:t>Účinnost</w:t>
      </w:r>
    </w:p>
    <w:p>
      <w:pPr>
        <w:pStyle w:val="NoSpacing"/>
        <w:ind w:firstLine="708"/>
        <w:jc w:val="both"/>
        <w:rPr>
          <w:rFonts w:ascii="Times New Roman" w:hAnsi="Times New Roman" w:cs="Times New Roman"/>
          <w:sz w:val="24"/>
          <w:szCs w:val="24"/>
          <w:lang w:eastAsia="cs-CZ"/>
        </w:rPr>
      </w:pPr>
      <w:r>
        <w:rPr>
          <w:rFonts w:cs="Times New Roman" w:ascii="Times New Roman" w:hAnsi="Times New Roman"/>
          <w:sz w:val="24"/>
          <w:szCs w:val="24"/>
          <w:shd w:fill="FFFFFF" w:val="clear"/>
        </w:rPr>
        <w:t>Tento zákon nabývá účinnosti dnem 1. března 2021.</w:t>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8030702"/>
    </w:sdtPr>
    <w:sdtContent>
      <w:p>
        <w:pPr>
          <w:pStyle w:val="Zpat"/>
          <w:jc w:val="center"/>
          <w:rPr/>
        </w:pPr>
        <w:r>
          <w:rPr/>
          <w:fldChar w:fldCharType="begin"/>
        </w:r>
        <w:r>
          <w:rPr/>
          <w:instrText> PAGE </w:instrText>
        </w:r>
        <w:r>
          <w:rPr/>
          <w:fldChar w:fldCharType="separate"/>
        </w:r>
        <w:r>
          <w:rPr/>
          <w:t>3</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ascii="Times New Roman" w:hAnsi="Times New Roman" w:cs="Times New Roman"/>
        </w:rPr>
      </w:pPr>
      <w:r>
        <w:rPr>
          <w:rStyle w:val="Znakypropoznmkupodarou"/>
        </w:rPr>
        <w:t>1)</w:t>
      </w:r>
      <w:r>
        <w:rPr>
          <w:rStyle w:val="FootnoteCharacters"/>
          <w:rFonts w:cs="Times New Roman" w:ascii="Times New Roman" w:hAnsi="Times New Roman"/>
        </w:rPr>
        <w:t>1)</w:t>
      </w:r>
      <w:r>
        <w:rPr>
          <w:rFonts w:cs="Times New Roman" w:ascii="Times New Roman" w:hAnsi="Times New Roman"/>
        </w:rPr>
        <w:t xml:space="preserve"> § 2 odst. 6 zákona č. 258/2000 Sb., o ochraně veřejného zdraví a o změně některých souvisejících zákonů, ve znění pozdějších předpisů.</w:t>
      </w:r>
    </w:p>
  </w:footnote>
  <w:footnote w:id="3">
    <w:p>
      <w:pPr>
        <w:pStyle w:val="Poznmkapodarou"/>
        <w:jc w:val="both"/>
        <w:rPr>
          <w:rFonts w:ascii="Times New Roman" w:hAnsi="Times New Roman" w:cs="Times New Roman"/>
        </w:rPr>
      </w:pPr>
      <w:r>
        <w:rPr>
          <w:rStyle w:val="Znakypropoznmkupodarou"/>
        </w:rPr>
        <w:t>2)</w:t>
      </w:r>
      <w:r>
        <w:rPr>
          <w:rStyle w:val="FootnoteCharacters"/>
          <w:rFonts w:cs="Times New Roman" w:ascii="Times New Roman" w:hAnsi="Times New Roman"/>
        </w:rPr>
        <w:t>2)</w:t>
      </w:r>
      <w:r>
        <w:rPr>
          <w:rFonts w:cs="Times New Roman" w:ascii="Times New Roman" w:hAnsi="Times New Roman"/>
        </w:rPr>
        <w:t xml:space="preserve"> § 5 písm. a) zákona č. 187/2006 Sb., o nemocenském pojištění, ve znění pozdějších předpisů.</w:t>
      </w:r>
    </w:p>
  </w:footnote>
  <w:footnote w:id="4">
    <w:p>
      <w:pPr>
        <w:pStyle w:val="Poznmkapodarou"/>
        <w:jc w:val="both"/>
        <w:rPr>
          <w:rFonts w:ascii="Times New Roman" w:hAnsi="Times New Roman" w:cs="Times New Roman"/>
        </w:rPr>
      </w:pPr>
      <w:r>
        <w:rPr>
          <w:rStyle w:val="Znakypropoznmkupodarou"/>
        </w:rPr>
        <w:t>3)</w:t>
      </w:r>
      <w:r>
        <w:rPr>
          <w:rStyle w:val="FootnoteCharacters"/>
          <w:rFonts w:cs="Times New Roman" w:ascii="Times New Roman" w:hAnsi="Times New Roman"/>
        </w:rPr>
        <w:t>3)</w:t>
      </w:r>
      <w:r>
        <w:rPr>
          <w:rFonts w:cs="Times New Roman" w:ascii="Times New Roman" w:hAnsi="Times New Roman"/>
        </w:rPr>
        <w:t xml:space="preserve"> § 128 zákona č. 234/2014 Sb., o státní službě, ve znění pozdějších předpisů.</w:t>
      </w:r>
    </w:p>
    <w:p>
      <w:pPr>
        <w:pStyle w:val="Poznmkapodarou"/>
        <w:jc w:val="both"/>
        <w:rPr>
          <w:rFonts w:ascii="Times New Roman" w:hAnsi="Times New Roman" w:cs="Times New Roman"/>
        </w:rPr>
      </w:pPr>
      <w:r>
        <w:rPr>
          <w:rFonts w:cs="Times New Roman" w:ascii="Times New Roman" w:hAnsi="Times New Roman"/>
        </w:rPr>
        <w:t>§ 34 odst. 4 zákona č. 236/1995 Sb., o platu a dalších náležitostech spojených s výkonem funkce představitelů státní moci a některých státních orgánů a soudců a poslanců Evropského parlamentu, ve znění pozdějších předpisů.</w:t>
      </w:r>
    </w:p>
    <w:p>
      <w:pPr>
        <w:pStyle w:val="Poznmkapodarou"/>
        <w:jc w:val="both"/>
        <w:rPr>
          <w:rFonts w:ascii="Times New Roman" w:hAnsi="Times New Roman" w:cs="Times New Roman"/>
        </w:rPr>
      </w:pPr>
      <w:r>
        <w:rPr>
          <w:rFonts w:cs="Times New Roman" w:ascii="Times New Roman" w:hAnsi="Times New Roman"/>
        </w:rPr>
        <w:t>§ 72 odst. 7 zákona č. 128/2000 Sb., o obcích, ve znění pozdějších předpisů.</w:t>
      </w:r>
    </w:p>
    <w:p>
      <w:pPr>
        <w:pStyle w:val="Poznmkapodarou"/>
        <w:jc w:val="both"/>
        <w:rPr>
          <w:rFonts w:ascii="Times New Roman" w:hAnsi="Times New Roman" w:cs="Times New Roman"/>
        </w:rPr>
      </w:pPr>
      <w:r>
        <w:rPr>
          <w:rFonts w:cs="Times New Roman" w:ascii="Times New Roman" w:hAnsi="Times New Roman"/>
        </w:rPr>
        <w:t>§ 47 odst. 7 zákona č. 129/2000 Sb., o krajích, ve znění pozdějších předpisů.</w:t>
      </w:r>
    </w:p>
    <w:p>
      <w:pPr>
        <w:pStyle w:val="Poznmkapodarou"/>
        <w:jc w:val="both"/>
        <w:rPr>
          <w:rFonts w:ascii="Times New Roman" w:hAnsi="Times New Roman" w:cs="Times New Roman"/>
        </w:rPr>
      </w:pPr>
      <w:r>
        <w:rPr>
          <w:rFonts w:cs="Times New Roman" w:ascii="Times New Roman" w:hAnsi="Times New Roman"/>
        </w:rPr>
        <w:t>§ 53 odst. 7 zákona č. 131/2000 Sb., o hlavním městě Praze, ve znění pozdějších předpisů.</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b/>
        <w:b/>
        <w:sz w:val="28"/>
      </w:rPr>
    </w:pPr>
    <w:r>
      <w:rPr>
        <w:b/>
        <w:sz w:val="28"/>
      </w:rPr>
      <w:t xml:space="preserve">                                                                                                                                                            </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494" w:hanging="360"/>
      </w:pPr>
      <w:rPr>
        <w:rFonts w:ascii="Times New Roman" w:hAnsi="Times New Roman" w:eastAsia="Calibri" w:cs="Times New Roman"/>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link w:val="Odstavecseseznamem"/>
    <w:uiPriority w:val="34"/>
    <w:qFormat/>
    <w:locked/>
    <w:rsid w:val="003d01eb"/>
    <w:rPr/>
  </w:style>
  <w:style w:type="character" w:styleId="TextkomenteChar" w:customStyle="1">
    <w:name w:val="Text komentáře Char"/>
    <w:basedOn w:val="DefaultParagraphFont"/>
    <w:link w:val="Textkomente"/>
    <w:uiPriority w:val="99"/>
    <w:semiHidden/>
    <w:qFormat/>
    <w:rsid w:val="003d01eb"/>
    <w:rPr>
      <w:sz w:val="20"/>
      <w:szCs w:val="20"/>
    </w:rPr>
  </w:style>
  <w:style w:type="character" w:styleId="Annotationreference">
    <w:name w:val="annotation reference"/>
    <w:basedOn w:val="DefaultParagraphFont"/>
    <w:uiPriority w:val="99"/>
    <w:semiHidden/>
    <w:unhideWhenUsed/>
    <w:qFormat/>
    <w:rsid w:val="003d01eb"/>
    <w:rPr>
      <w:sz w:val="16"/>
      <w:szCs w:val="16"/>
    </w:rPr>
  </w:style>
  <w:style w:type="character" w:styleId="TextbublinyChar" w:customStyle="1">
    <w:name w:val="Text bubliny Char"/>
    <w:basedOn w:val="DefaultParagraphFont"/>
    <w:link w:val="Textbubliny"/>
    <w:uiPriority w:val="99"/>
    <w:semiHidden/>
    <w:qFormat/>
    <w:rsid w:val="003d01eb"/>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307f4e"/>
    <w:rPr>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307f4e"/>
    <w:rPr>
      <w:vertAlign w:val="superscript"/>
    </w:rPr>
  </w:style>
  <w:style w:type="character" w:styleId="ZhlavChar" w:customStyle="1">
    <w:name w:val="Záhlaví Char"/>
    <w:basedOn w:val="DefaultParagraphFont"/>
    <w:link w:val="Zhlav"/>
    <w:uiPriority w:val="99"/>
    <w:qFormat/>
    <w:rsid w:val="009b2e0e"/>
    <w:rPr/>
  </w:style>
  <w:style w:type="character" w:styleId="ZpatChar" w:customStyle="1">
    <w:name w:val="Zápatí Char"/>
    <w:basedOn w:val="DefaultParagraphFont"/>
    <w:link w:val="Zpat"/>
    <w:uiPriority w:val="99"/>
    <w:qFormat/>
    <w:rsid w:val="009b2e0e"/>
    <w:rPr/>
  </w:style>
  <w:style w:type="character" w:styleId="HTMLVariable">
    <w:name w:val="HTML Variable"/>
    <w:basedOn w:val="DefaultParagraphFont"/>
    <w:uiPriority w:val="99"/>
    <w:semiHidden/>
    <w:unhideWhenUsed/>
    <w:qFormat/>
    <w:rsid w:val="00417c60"/>
    <w:rPr>
      <w:i/>
      <w:iCs/>
    </w:rPr>
  </w:style>
  <w:style w:type="character" w:styleId="Internetovodkaz">
    <w:name w:val="Internetový odkaz"/>
    <w:basedOn w:val="DefaultParagraphFont"/>
    <w:uiPriority w:val="99"/>
    <w:semiHidden/>
    <w:unhideWhenUsed/>
    <w:rsid w:val="00417c60"/>
    <w:rPr>
      <w:color w:val="0000FF"/>
      <w:u w:val="single"/>
    </w:rPr>
  </w:style>
  <w:style w:type="character" w:styleId="PedmtkomenteChar" w:customStyle="1">
    <w:name w:val="Předmět komentáře Char"/>
    <w:basedOn w:val="TextkomenteChar"/>
    <w:link w:val="Pedmtkomente"/>
    <w:uiPriority w:val="99"/>
    <w:semiHidden/>
    <w:qFormat/>
    <w:rsid w:val="001e6cd8"/>
    <w:rPr>
      <w:b/>
      <w:bCs/>
      <w:sz w:val="20"/>
      <w:szCs w:val="20"/>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3d01eb"/>
    <w:pPr>
      <w:spacing w:lineRule="auto" w:line="254" w:before="0" w:after="160"/>
      <w:ind w:left="720" w:hanging="0"/>
      <w:contextualSpacing/>
    </w:pPr>
    <w:rPr/>
  </w:style>
  <w:style w:type="paragraph" w:styleId="Annotationtext">
    <w:name w:val="annotation text"/>
    <w:basedOn w:val="Normal"/>
    <w:link w:val="TextkomenteChar"/>
    <w:uiPriority w:val="99"/>
    <w:semiHidden/>
    <w:unhideWhenUsed/>
    <w:qFormat/>
    <w:rsid w:val="003d01eb"/>
    <w:pPr>
      <w:spacing w:lineRule="auto" w:line="240" w:before="0" w:after="160"/>
    </w:pPr>
    <w:rPr>
      <w:sz w:val="20"/>
      <w:szCs w:val="20"/>
    </w:rPr>
  </w:style>
  <w:style w:type="paragraph" w:styleId="BalloonText">
    <w:name w:val="Balloon Text"/>
    <w:basedOn w:val="Normal"/>
    <w:link w:val="TextbublinyChar"/>
    <w:uiPriority w:val="99"/>
    <w:semiHidden/>
    <w:unhideWhenUsed/>
    <w:qFormat/>
    <w:rsid w:val="003d01eb"/>
    <w:pPr>
      <w:spacing w:lineRule="auto" w:line="240" w:before="0" w:after="0"/>
    </w:pPr>
    <w:rPr>
      <w:rFonts w:ascii="Tahoma" w:hAnsi="Tahoma" w:cs="Tahoma"/>
      <w:sz w:val="16"/>
      <w:szCs w:val="16"/>
    </w:rPr>
  </w:style>
  <w:style w:type="paragraph" w:styleId="Nadpiszkona" w:customStyle="1">
    <w:name w:val="nadpis zákona"/>
    <w:basedOn w:val="Normal"/>
    <w:next w:val="Normal"/>
    <w:qFormat/>
    <w:rsid w:val="00e616ba"/>
    <w:pPr>
      <w:keepNext w:val="true"/>
      <w:keepLines/>
      <w:suppressAutoHyphens w:val="true"/>
      <w:spacing w:before="120" w:after="200"/>
      <w:jc w:val="center"/>
    </w:pPr>
    <w:rPr>
      <w:rFonts w:ascii="Calibri" w:hAnsi="Calibri" w:eastAsia="Calibri" w:cs="Times New Roman"/>
      <w:b/>
      <w:lang w:eastAsia="ar-SA"/>
    </w:rPr>
  </w:style>
  <w:style w:type="paragraph" w:styleId="NoSpacing">
    <w:name w:val="No Spacing"/>
    <w:uiPriority w:val="1"/>
    <w:qFormat/>
    <w:rsid w:val="00576ac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Poznmkapodarou">
    <w:name w:val="Footnote Text"/>
    <w:basedOn w:val="Normal"/>
    <w:link w:val="TextpoznpodarouChar"/>
    <w:uiPriority w:val="99"/>
    <w:unhideWhenUsed/>
    <w:rsid w:val="00307f4e"/>
    <w:pPr>
      <w:spacing w:lineRule="auto" w:line="240" w:before="0" w:after="0"/>
    </w:pPr>
    <w:rPr>
      <w:sz w:val="20"/>
      <w:szCs w:val="20"/>
    </w:rPr>
  </w:style>
  <w:style w:type="paragraph" w:styleId="Zhlavazpat">
    <w:name w:val="Záhlaví a zápatí"/>
    <w:basedOn w:val="Normal"/>
    <w:qFormat/>
    <w:pPr/>
    <w:rPr/>
  </w:style>
  <w:style w:type="paragraph" w:styleId="Zhlav">
    <w:name w:val="Header"/>
    <w:basedOn w:val="Normal"/>
    <w:link w:val="ZhlavChar"/>
    <w:uiPriority w:val="99"/>
    <w:unhideWhenUsed/>
    <w:rsid w:val="009b2e0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9b2e0e"/>
    <w:pPr>
      <w:tabs>
        <w:tab w:val="clear" w:pos="708"/>
        <w:tab w:val="center" w:pos="4536" w:leader="none"/>
        <w:tab w:val="right" w:pos="9072" w:leader="none"/>
      </w:tabs>
      <w:spacing w:lineRule="auto" w:line="240" w:before="0" w:after="0"/>
    </w:pPr>
    <w:rPr/>
  </w:style>
  <w:style w:type="paragraph" w:styleId="L1" w:customStyle="1">
    <w:name w:val="l1"/>
    <w:basedOn w:val="Normal"/>
    <w:qFormat/>
    <w:rsid w:val="00417c60"/>
    <w:pPr>
      <w:spacing w:lineRule="auto" w:line="240" w:beforeAutospacing="1" w:afterAutospacing="1"/>
    </w:pPr>
    <w:rPr>
      <w:rFonts w:ascii="Times New Roman" w:hAnsi="Times New Roman" w:eastAsia="Times New Roman" w:cs="Times New Roman"/>
      <w:sz w:val="24"/>
      <w:szCs w:val="24"/>
      <w:lang w:eastAsia="cs-CZ"/>
    </w:rPr>
  </w:style>
  <w:style w:type="paragraph" w:styleId="Annotationsubject">
    <w:name w:val="annotation subject"/>
    <w:basedOn w:val="Annotationtext"/>
    <w:next w:val="Annotationtext"/>
    <w:link w:val="PedmtkomenteChar"/>
    <w:uiPriority w:val="99"/>
    <w:semiHidden/>
    <w:unhideWhenUsed/>
    <w:qFormat/>
    <w:rsid w:val="001e6cd8"/>
    <w:pPr>
      <w:spacing w:before="0" w:after="200"/>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09AA-6144-4D95-8982-AF99561F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LibreOffice/7.0.4.2$Windows_X86_64 LibreOffice_project/dcf040e67528d9187c66b2379df5ea4407429775</Application>
  <AppVersion>15.0000</AppVersion>
  <Pages>3</Pages>
  <Words>883</Words>
  <Characters>4774</Characters>
  <CharactersWithSpaces>5781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2021-02-08T09:55:00Z</dcterms:created>
  <dc:creator>admin</dc:creator>
  <dc:description/>
  <dc:language>cs-CZ</dc:language>
  <cp:lastModifiedBy>-</cp:lastModifiedBy>
  <dcterms:modified xsi:type="dcterms:W3CDTF">2021-02-08T10:21:00Z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