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1"/>
        <w:rPr/>
      </w:pPr>
      <w:r>
        <w:rPr/>
      </w:r>
    </w:p>
    <w:p>
      <w:pPr>
        <w:pStyle w:val="1"/>
        <w:rPr/>
      </w:pPr>
      <w:r>
        <w:rPr/>
      </w:r>
    </w:p>
    <w:p>
      <w:pPr>
        <w:pStyle w:val="2"/>
        <w:rPr/>
      </w:pPr>
      <w:r>
        <w:rPr/>
        <w:t>…</w:t>
      </w:r>
    </w:p>
    <w:p>
      <w:pPr>
        <w:pStyle w:val="3"/>
        <w:rPr/>
      </w:pPr>
      <w:r>
        <w:rPr/>
        <w:t>NAŘÍZENÍ VLÁDY</w:t>
      </w:r>
    </w:p>
    <w:p>
      <w:pPr>
        <w:pStyle w:val="4"/>
        <w:rPr/>
      </w:pPr>
      <w:r>
        <w:rPr/>
        <w:t xml:space="preserve">ze dne …, </w:t>
      </w:r>
    </w:p>
    <w:p>
      <w:pPr>
        <w:pStyle w:val="5"/>
        <w:rPr/>
      </w:pPr>
      <w:r>
        <w:rPr/>
        <w:t>kterým se mění nařízení vlády č. 427/2025 Sb., o koeficientech, kterými se násobí počty dětí, žáků a studentů pro účely stanovení podílu krajů a obcí na daňových příjmech</w:t>
      </w:r>
    </w:p>
    <w:p>
      <w:pPr>
        <w:pStyle w:val="6"/>
        <w:rPr/>
      </w:pPr>
      <w:r>
        <w:rPr/>
        <w:t>Vláda nařizuje podle § 3 odst. 4 a § 4 odst. 10 zákona č. 243/2000 Sb., o rozpočtovém určení výnosů některých daní územním samosprávným celkům a některým státním fondům (zákon o rozpočtovém určení daní), ve znění zákona č. 267/2025 Sb.:</w:t>
      </w:r>
    </w:p>
    <w:p>
      <w:pPr>
        <w:pStyle w:val="1"/>
        <w:rPr/>
      </w:pPr>
      <w:r>
        <w:rPr/>
      </w:r>
    </w:p>
    <w:p>
      <w:pPr>
        <w:pStyle w:val="7"/>
        <w:rPr/>
      </w:pPr>
      <w:r>
        <w:rPr/>
        <w:t>Čl. I</w:t>
      </w:r>
    </w:p>
    <w:p>
      <w:pPr>
        <w:pStyle w:val="8"/>
        <w:rPr/>
      </w:pPr>
      <w:r>
        <w:rPr/>
        <w:t>Nařízení vlády č. 427/2025 Sb., o koeficientech, kterými se násobí počty dětí, žáků a studentů pro účely stanovení podílu krajů a obcí na daňových příjmech, se mění takto:</w:t>
      </w:r>
    </w:p>
    <w:p>
      <w:pPr>
        <w:pStyle w:val="9"/>
        <w:rPr/>
      </w:pPr>
      <w:r>
        <w:rPr/>
        <w:t>1.   V § 1 se za písmeno a) vkládá nové písmeno b), které zní:</w:t>
      </w:r>
    </w:p>
    <w:p>
      <w:pPr>
        <w:pStyle w:val="10"/>
        <w:rPr/>
      </w:pPr>
      <w:r>
        <w:rPr/>
      </w:r>
    </w:p>
    <w:p>
      <w:pPr>
        <w:pStyle w:val="11"/>
        <w:rPr/>
      </w:pPr>
      <w:r>
        <w:rPr/>
        <w:t>„</w:t>
      </w:r>
      <w:r>
        <w:rPr/>
        <w:t>b)   1,4 v případě dětí v mateřské škole zřízené společenstvím obcí,“.</w:t>
      </w:r>
    </w:p>
    <w:p>
      <w:pPr>
        <w:pStyle w:val="12"/>
        <w:rPr/>
      </w:pPr>
      <w:r>
        <w:rPr/>
        <w:t>Dosavadní písmena b) až q) se označují jako písmena c) až r).</w:t>
      </w:r>
    </w:p>
    <w:p>
      <w:pPr>
        <w:pStyle w:val="9"/>
        <w:rPr/>
      </w:pPr>
      <w:r>
        <w:rPr/>
        <w:t>2.   V § 1 se za písmeno d) vkládá nové písmeno e), které zní:</w:t>
      </w:r>
    </w:p>
    <w:p>
      <w:pPr>
        <w:pStyle w:val="10"/>
        <w:rPr/>
      </w:pPr>
      <w:r>
        <w:rPr/>
      </w:r>
    </w:p>
    <w:p>
      <w:pPr>
        <w:pStyle w:val="11"/>
        <w:rPr/>
      </w:pPr>
      <w:r>
        <w:rPr/>
        <w:t>„</w:t>
      </w:r>
      <w:r>
        <w:rPr/>
        <w:t>e)   1,4 v případě dětí zařazených do přípravné třídy základní školy zřízené společenstvím obcí,“.</w:t>
      </w:r>
    </w:p>
    <w:p>
      <w:pPr>
        <w:pStyle w:val="12"/>
        <w:rPr/>
      </w:pPr>
      <w:r>
        <w:rPr/>
        <w:t>Dosavadní písmena e) až r) se označují jako písmena f) až s).</w:t>
      </w:r>
    </w:p>
    <w:p>
      <w:pPr>
        <w:pStyle w:val="9"/>
        <w:rPr/>
      </w:pPr>
      <w:r>
        <w:rPr/>
        <w:t>3.   V § 1 se za písmeno h) vkládá nové písmeno i), které zní:</w:t>
      </w:r>
    </w:p>
    <w:p>
      <w:pPr>
        <w:pStyle w:val="10"/>
        <w:rPr/>
      </w:pPr>
      <w:r>
        <w:rPr/>
      </w:r>
    </w:p>
    <w:p>
      <w:pPr>
        <w:pStyle w:val="11"/>
        <w:rPr/>
      </w:pPr>
      <w:r>
        <w:rPr/>
        <w:t>„</w:t>
      </w:r>
      <w:r>
        <w:rPr/>
        <w:t>i)   1,4 v případě žáků základní školy zřízené společenstvím obcí,“.</w:t>
      </w:r>
    </w:p>
    <w:p>
      <w:pPr>
        <w:pStyle w:val="12"/>
        <w:rPr/>
      </w:pPr>
      <w:r>
        <w:rPr/>
        <w:t>Dosavadní písmena i) až s) se označují jako písmena j) až t).</w:t>
      </w:r>
    </w:p>
    <w:p>
      <w:pPr>
        <w:pStyle w:val="7"/>
        <w:rPr/>
      </w:pPr>
      <w:r>
        <w:rPr/>
        <w:t>Čl. II</w:t>
      </w:r>
    </w:p>
    <w:p>
      <w:pPr>
        <w:pStyle w:val="13"/>
        <w:rPr/>
      </w:pPr>
      <w:r>
        <w:rPr/>
        <w:t>Účinnost</w:t>
      </w:r>
    </w:p>
    <w:p>
      <w:pPr>
        <w:pStyle w:val="1"/>
        <w:rPr/>
      </w:pPr>
      <w:r>
        <w:rPr/>
      </w:r>
    </w:p>
    <w:p>
      <w:pPr>
        <w:pStyle w:val="8"/>
        <w:rPr/>
      </w:pPr>
      <w:r>
        <w:rPr/>
        <w:t>Toto nařízení nabývá účinnosti dnem 1. září 2027.</w:t>
      </w:r>
    </w:p>
    <w:p>
      <w:pPr>
        <w:pStyle w:val="1"/>
        <w:rPr/>
      </w:pPr>
      <w:r>
        <w:rPr/>
      </w:r>
    </w:p>
    <w:sectPr>
      <w:headerReference w:type="even" r:id="rId2"/>
      <w:headerReference w:type="default" r:id="rId3"/>
      <w:type w:val="nextPage"/>
      <w:pgSz w:w="12240" w:h="15840"/>
      <w:pgMar w:left="1417" w:right="1417" w:gutter="0" w:header="400" w:top="1417" w:footer="0" w:bottom="1417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881"/>
      <w:gridCol w:w="2821"/>
      <w:gridCol w:w="2822"/>
      <w:gridCol w:w="1882"/>
    </w:tblGrid>
    <w:tr>
      <w:trPr/>
      <w:tc>
        <w:tcPr>
          <w:tcW w:w="9406" w:type="dxa"/>
          <w:gridSpan w:val="4"/>
          <w:tcBorders/>
        </w:tcPr>
        <w:p>
          <w:pPr>
            <w:pStyle w:val="HlavickaZlutyText"/>
            <w:jc w:val="center"/>
            <w:rPr/>
          </w:pPr>
          <w:r>
            <w:rPr/>
          </w:r>
        </w:p>
      </w:tc>
    </w:tr>
    <w:tr>
      <w:trPr/>
      <w:tc>
        <w:tcPr>
          <w:tcW w:w="1881" w:type="dxa"/>
          <w:tcBorders>
            <w:bottom w:val="single" w:sz="12" w:space="0" w:color="000000"/>
          </w:tcBorders>
        </w:tcPr>
        <w:p>
          <w:pPr>
            <w:pStyle w:val="Hlavicka"/>
            <w:jc w:val="start"/>
            <w:rPr/>
          </w:pPr>
          <w:r>
            <w:rPr/>
            <w:t xml:space="preserve">strana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  <w:tc>
        <w:tcPr>
          <w:tcW w:w="5643" w:type="dxa"/>
          <w:gridSpan w:val="2"/>
          <w:tcBorders>
            <w:bottom w:val="single" w:sz="12" w:space="0" w:color="000000"/>
          </w:tcBorders>
        </w:tcPr>
        <w:p>
          <w:pPr>
            <w:pStyle w:val="Hlavicka"/>
            <w:jc w:val="center"/>
            <w:rPr/>
          </w:pPr>
          <w:r>
            <w:rPr/>
            <w:t>Návrh aktu</w:t>
          </w:r>
        </w:p>
      </w:tc>
      <w:tc>
        <w:tcPr>
          <w:tcW w:w="1882" w:type="dxa"/>
          <w:tcBorders>
            <w:bottom w:val="single" w:sz="12" w:space="0" w:color="000000"/>
          </w:tcBorders>
        </w:tcPr>
        <w:p>
          <w:pPr>
            <w:pStyle w:val="Hlavicka"/>
            <w:jc w:val="end"/>
            <w:rPr/>
          </w:pPr>
          <w:r>
            <w:rPr/>
          </w:r>
        </w:p>
      </w:tc>
    </w:tr>
    <w:tr>
      <w:trPr/>
      <w:tc>
        <w:tcPr>
          <w:tcW w:w="4702" w:type="dxa"/>
          <w:gridSpan w:val="2"/>
          <w:tcBorders/>
        </w:tcPr>
        <w:p>
          <w:pPr>
            <w:pStyle w:val="Hlavicka"/>
            <w:jc w:val="start"/>
            <w:rPr/>
          </w:pPr>
          <w:r>
            <w:rPr/>
            <w:t>Uzavřená verze: 2026-0315-001-TVO</w:t>
          </w:r>
        </w:p>
      </w:tc>
      <w:tc>
        <w:tcPr>
          <w:tcW w:w="4704" w:type="dxa"/>
          <w:gridSpan w:val="2"/>
          <w:tcBorders/>
        </w:tcPr>
        <w:p>
          <w:pPr>
            <w:pStyle w:val="Hlavicka"/>
            <w:jc w:val="end"/>
            <w:rPr/>
          </w:pPr>
          <w:r>
            <w:rPr/>
          </w:r>
        </w:p>
      </w:tc>
    </w:tr>
  </w:tbl>
  <w:p>
    <w:pPr>
      <w:pStyle w:val="Hlavic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881"/>
      <w:gridCol w:w="2821"/>
      <w:gridCol w:w="2822"/>
      <w:gridCol w:w="1882"/>
    </w:tblGrid>
    <w:tr>
      <w:trPr/>
      <w:tc>
        <w:tcPr>
          <w:tcW w:w="9406" w:type="dxa"/>
          <w:gridSpan w:val="4"/>
          <w:tcBorders/>
        </w:tcPr>
        <w:p>
          <w:pPr>
            <w:pStyle w:val="HlavickaZlutyText"/>
            <w:jc w:val="center"/>
            <w:rPr/>
          </w:pPr>
          <w:r>
            <w:rPr/>
          </w:r>
        </w:p>
      </w:tc>
    </w:tr>
    <w:tr>
      <w:trPr/>
      <w:tc>
        <w:tcPr>
          <w:tcW w:w="1881" w:type="dxa"/>
          <w:tcBorders>
            <w:bottom w:val="single" w:sz="12" w:space="0" w:color="000000"/>
          </w:tcBorders>
        </w:tcPr>
        <w:p>
          <w:pPr>
            <w:pStyle w:val="Hlavicka"/>
            <w:jc w:val="start"/>
            <w:rPr/>
          </w:pPr>
          <w:r>
            <w:rPr/>
          </w:r>
        </w:p>
      </w:tc>
      <w:tc>
        <w:tcPr>
          <w:tcW w:w="5643" w:type="dxa"/>
          <w:gridSpan w:val="2"/>
          <w:tcBorders>
            <w:bottom w:val="single" w:sz="12" w:space="0" w:color="000000"/>
          </w:tcBorders>
        </w:tcPr>
        <w:p>
          <w:pPr>
            <w:pStyle w:val="Hlavicka"/>
            <w:jc w:val="center"/>
            <w:rPr/>
          </w:pPr>
          <w:r>
            <w:rPr/>
            <w:t>Návrh aktu</w:t>
          </w:r>
        </w:p>
      </w:tc>
      <w:tc>
        <w:tcPr>
          <w:tcW w:w="1882" w:type="dxa"/>
          <w:tcBorders>
            <w:bottom w:val="single" w:sz="12" w:space="0" w:color="000000"/>
          </w:tcBorders>
        </w:tcPr>
        <w:p>
          <w:pPr>
            <w:pStyle w:val="Hlavicka"/>
            <w:jc w:val="end"/>
            <w:rPr/>
          </w:pPr>
          <w:r>
            <w:rPr/>
            <w:t xml:space="preserve">strana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  <w:tr>
      <w:trPr/>
      <w:tc>
        <w:tcPr>
          <w:tcW w:w="4702" w:type="dxa"/>
          <w:gridSpan w:val="2"/>
          <w:tcBorders/>
        </w:tcPr>
        <w:p>
          <w:pPr>
            <w:pStyle w:val="Hlavicka"/>
            <w:jc w:val="start"/>
            <w:rPr/>
          </w:pPr>
          <w:r>
            <w:rPr/>
          </w:r>
        </w:p>
      </w:tc>
      <w:tc>
        <w:tcPr>
          <w:tcW w:w="4704" w:type="dxa"/>
          <w:gridSpan w:val="2"/>
          <w:tcBorders/>
        </w:tcPr>
        <w:p>
          <w:pPr>
            <w:pStyle w:val="Hlavicka"/>
            <w:jc w:val="end"/>
            <w:rPr/>
          </w:pPr>
          <w:r>
            <w:rPr/>
            <w:t>Uzavřená verze: 2026-0315-001-TVO</w:t>
          </w:r>
        </w:p>
      </w:tc>
    </w:tr>
  </w:tbl>
  <w:p>
    <w:pPr>
      <w:pStyle w:val="Hlavic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stylePaneFormatFilter w:val="3F01" w:allStyles="1" w:customStyles="0" w:latentStyles="0" w:stylesInUse="0" w:headingStyles="0" w:numberingStyles="0" w:tableStyles="0" w:visibleStyles="0"/>
  <w:defaultTabStop w:val="720"/>
  <w:autoHyphenation w:val="true"/>
  <w:hyphenationZone w:val="0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en-US" w:bidi="ar-SA"/>
    </w:rPr>
  </w:style>
  <w:style w:type="character" w:styleId="DefaultParagraphFont" w:default="1">
    <w:name w:val="Default Paragraph Font"/>
    <w:semiHidden/>
    <w:rPr/>
  </w:style>
  <w:style w:type="paragraph" w:styleId="Nadpis">
    <w:name w:val="Nadpis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Lucida Sans"/>
    </w:rPr>
  </w:style>
  <w:style w:type="paragraph" w:styleId="Hlavicka" w:customStyle="1">
    <w:name w:val="Hlavicka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cs-CZ" w:eastAsia="en-US" w:bidi="ar-SA"/>
    </w:rPr>
  </w:style>
  <w:style w:type="paragraph" w:styleId="HlavickaZlutyText" w:customStyle="1">
    <w:name w:val="HlavickaZlutyText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i w:val="false"/>
      <w:color w:val="auto"/>
      <w:kern w:val="0"/>
      <w:sz w:val="18"/>
      <w:szCs w:val="20"/>
      <w:lang w:val="cs-CZ" w:eastAsia="en-US" w:bidi="ar-SA"/>
    </w:rPr>
  </w:style>
  <w:style w:type="paragraph" w:styleId="Variantastart" w:customStyle="1">
    <w:name w:val="Varianta_start"/>
    <w:pPr>
      <w:widowControl/>
      <w:pBdr>
        <w:top w:val="single" w:sz="8" w:space="0" w:color="80008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konec" w:customStyle="1">
    <w:name w:val="Varianta_konec"/>
    <w:pPr>
      <w:widowControl/>
      <w:pBdr>
        <w:bottom w:val="single" w:sz="8" w:space="0" w:color="80008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start" w:customStyle="1">
    <w:name w:val="Ucinnost_start"/>
    <w:pPr>
      <w:widowControl/>
      <w:pBdr>
        <w:top w:val="single" w:sz="8" w:space="0" w:color="8B000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konec" w:customStyle="1">
    <w:name w:val="Ucinnost_konec"/>
    <w:pPr>
      <w:widowControl/>
      <w:pBdr>
        <w:bottom w:val="single" w:sz="8" w:space="0" w:color="8B000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Celex" w:customStyle="1">
    <w:name w:val="Celex"/>
    <w:pPr>
      <w:widowControl/>
      <w:bidi w:val="0"/>
      <w:spacing w:before="120" w:after="120"/>
      <w:jc w:val="star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cs-CZ" w:eastAsia="en-US" w:bidi="ar-SA"/>
    </w:rPr>
  </w:style>
  <w:style w:type="paragraph" w:styleId="Pripominkystart" w:customStyle="1">
    <w:name w:val="Pripominky_start"/>
    <w:pPr>
      <w:widowControl/>
      <w:pBdr>
        <w:top w:val="single" w:sz="8" w:space="0" w:color="87CEFA"/>
      </w:pBdr>
      <w:bidi w:val="0"/>
      <w:spacing w:before="0" w:after="10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" w:customStyle="1">
    <w:name w:val="1"/>
    <w:pPr>
      <w:widowControl/>
      <w:bidi w:val="0"/>
      <w:spacing w:before="11" w:after="0"/>
      <w:ind w:end="0"/>
      <w:jc w:val="start"/>
    </w:pPr>
    <w:rPr>
      <w:rFonts w:ascii="Times New Roman" w:hAnsi="Times New Roman" w:eastAsia="Times New Roman" w:cs="Times New Roman"/>
      <w:color w:val="auto"/>
      <w:kern w:val="0"/>
      <w:sz w:val="0"/>
      <w:szCs w:val="20"/>
      <w:lang w:val="cs-CZ" w:eastAsia="en-US" w:bidi="ar-SA"/>
    </w:rPr>
  </w:style>
  <w:style w:type="paragraph" w:styleId="2" w:customStyle="1">
    <w:name w:val="2"/>
    <w:pPr>
      <w:widowControl/>
      <w:bidi w:val="0"/>
      <w:spacing w:before="57" w:after="227"/>
      <w:ind w:end="0"/>
      <w:jc w:val="center"/>
    </w:pPr>
    <w:rPr>
      <w:rFonts w:ascii="Times New Roman" w:hAnsi="Times New Roman" w:eastAsia="Times New Roman" w:cs="Times New Roman"/>
      <w:b/>
      <w:color w:val="auto"/>
      <w:kern w:val="0"/>
      <w:sz w:val="32"/>
      <w:szCs w:val="20"/>
      <w:lang w:val="cs-CZ" w:eastAsia="en-US" w:bidi="ar-SA"/>
    </w:rPr>
  </w:style>
  <w:style w:type="paragraph" w:styleId="3" w:customStyle="1">
    <w:name w:val="3"/>
    <w:pPr>
      <w:widowControl/>
      <w:bidi w:val="0"/>
      <w:spacing w:before="0" w:after="0"/>
      <w:ind w:start="680" w:end="680"/>
      <w:jc w:val="center"/>
    </w:pPr>
    <w:rPr>
      <w:rFonts w:ascii="Times New Roman" w:hAnsi="Times New Roman" w:eastAsia="Times New Roman" w:cs="Times New Roman"/>
      <w:b/>
      <w:caps/>
      <w:color w:val="auto"/>
      <w:kern w:val="0"/>
      <w:sz w:val="32"/>
      <w:szCs w:val="20"/>
      <w:lang w:val="cs-CZ" w:eastAsia="en-US" w:bidi="ar-SA"/>
    </w:rPr>
  </w:style>
  <w:style w:type="paragraph" w:styleId="4" w:customStyle="1">
    <w:name w:val="4"/>
    <w:pPr>
      <w:widowControl/>
      <w:bidi w:val="0"/>
      <w:spacing w:before="0" w:after="170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cs-CZ" w:eastAsia="en-US" w:bidi="ar-SA"/>
    </w:rPr>
  </w:style>
  <w:style w:type="paragraph" w:styleId="5" w:customStyle="1">
    <w:name w:val="5"/>
    <w:pPr>
      <w:widowControl/>
      <w:bidi w:val="0"/>
      <w:spacing w:before="340" w:after="113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34"/>
      <w:szCs w:val="20"/>
      <w:lang w:val="cs-CZ" w:eastAsia="en-US" w:bidi="ar-SA"/>
    </w:rPr>
  </w:style>
  <w:style w:type="paragraph" w:styleId="6" w:customStyle="1">
    <w:name w:val="6"/>
    <w:pPr>
      <w:widowControl/>
      <w:bidi w:val="0"/>
      <w:spacing w:before="283" w:after="340"/>
      <w:ind w:end="0"/>
      <w:jc w:val="start"/>
    </w:pPr>
    <w:rPr>
      <w:rFonts w:ascii="Times New Roman" w:hAnsi="Times New Roman" w:eastAsia="Times New Roman" w:cs="Times New Roman"/>
      <w:color w:val="auto"/>
      <w:kern w:val="0"/>
      <w:sz w:val="30"/>
      <w:szCs w:val="20"/>
      <w:lang w:val="cs-CZ" w:eastAsia="en-US" w:bidi="ar-SA"/>
    </w:rPr>
  </w:style>
  <w:style w:type="paragraph" w:styleId="7" w:customStyle="1">
    <w:name w:val="7"/>
    <w:pPr>
      <w:widowControl/>
      <w:overflowPunct w:val="false"/>
      <w:bidi w:val="0"/>
      <w:spacing w:before="227" w:after="113"/>
      <w:ind w:hanging="0" w:start="0" w:end="0"/>
      <w:jc w:val="center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cs-CZ" w:eastAsia="en-US" w:bidi="ar-SA"/>
    </w:rPr>
  </w:style>
  <w:style w:type="paragraph" w:styleId="8" w:customStyle="1">
    <w:name w:val="8"/>
    <w:pPr>
      <w:widowControl/>
      <w:bidi w:val="0"/>
      <w:spacing w:before="0" w:after="57"/>
      <w:ind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9" w:customStyle="1">
    <w:name w:val="9"/>
    <w:pPr>
      <w:widowControl/>
      <w:overflowPunct w:val="false"/>
      <w:bidi w:val="0"/>
      <w:spacing w:before="0" w:after="113"/>
      <w:ind w:hanging="340"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9start" w:customStyle="1">
    <w:name w:val="Varianta_9_start"/>
    <w:pPr>
      <w:widowControl/>
      <w:pBdr>
        <w:top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9konec" w:customStyle="1">
    <w:name w:val="Varianta_9_konec"/>
    <w:pPr>
      <w:widowControl/>
      <w:pBdr>
        <w:bottom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9start" w:customStyle="1">
    <w:name w:val="Ucinnost_9_start"/>
    <w:pPr>
      <w:widowControl/>
      <w:pBdr>
        <w:top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9konec" w:customStyle="1">
    <w:name w:val="Ucinnost_9_konec"/>
    <w:pPr>
      <w:widowControl/>
      <w:pBdr>
        <w:bottom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9start" w:customStyle="1">
    <w:name w:val="Pripominky_9_start"/>
    <w:pPr>
      <w:widowControl/>
      <w:pBdr>
        <w:top w:val="single" w:sz="8" w:space="0" w:color="87CEFA"/>
      </w:pBdr>
      <w:bidi w:val="0"/>
      <w:spacing w:before="0" w:after="100"/>
      <w:ind w:start="34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0" w:customStyle="1">
    <w:name w:val="10"/>
    <w:pPr>
      <w:widowControl/>
      <w:bidi w:val="0"/>
      <w:spacing w:before="0" w:after="0"/>
      <w:ind w:start="680" w:end="0"/>
      <w:jc w:val="start"/>
    </w:pPr>
    <w:rPr>
      <w:rFonts w:ascii="Times New Roman" w:hAnsi="Times New Roman" w:eastAsia="Times New Roman" w:cs="Times New Roman"/>
      <w:color w:val="auto"/>
      <w:kern w:val="0"/>
      <w:sz w:val="0"/>
      <w:szCs w:val="20"/>
      <w:lang w:val="cs-CZ" w:eastAsia="en-US" w:bidi="ar-SA"/>
    </w:rPr>
  </w:style>
  <w:style w:type="paragraph" w:styleId="11" w:customStyle="1">
    <w:name w:val="11"/>
    <w:pPr>
      <w:widowControl/>
      <w:overflowPunct w:val="false"/>
      <w:bidi w:val="0"/>
      <w:spacing w:before="0" w:after="227"/>
      <w:ind w:hanging="340" w:start="136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1start" w:customStyle="1">
    <w:name w:val="Varianta_11_start"/>
    <w:pPr>
      <w:widowControl/>
      <w:pBdr>
        <w:top w:val="single" w:sz="8" w:space="0" w:color="800080"/>
      </w:pBdr>
      <w:bidi w:val="0"/>
      <w:spacing w:before="0" w:after="100"/>
      <w:ind w:start="136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1konec" w:customStyle="1">
    <w:name w:val="Varianta_11_konec"/>
    <w:pPr>
      <w:widowControl/>
      <w:pBdr>
        <w:bottom w:val="single" w:sz="8" w:space="0" w:color="800080"/>
      </w:pBdr>
      <w:bidi w:val="0"/>
      <w:spacing w:before="0" w:after="100"/>
      <w:ind w:start="136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1start" w:customStyle="1">
    <w:name w:val="Ucinnost_11_start"/>
    <w:pPr>
      <w:widowControl/>
      <w:pBdr>
        <w:top w:val="single" w:sz="8" w:space="0" w:color="8B0000"/>
      </w:pBdr>
      <w:bidi w:val="0"/>
      <w:spacing w:before="0" w:after="100"/>
      <w:ind w:start="136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1konec" w:customStyle="1">
    <w:name w:val="Ucinnost_11_konec"/>
    <w:pPr>
      <w:widowControl/>
      <w:pBdr>
        <w:bottom w:val="single" w:sz="8" w:space="0" w:color="8B0000"/>
      </w:pBdr>
      <w:bidi w:val="0"/>
      <w:spacing w:before="0" w:after="100"/>
      <w:ind w:start="136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1start" w:customStyle="1">
    <w:name w:val="Pripominky_11_start"/>
    <w:pPr>
      <w:widowControl/>
      <w:pBdr>
        <w:top w:val="single" w:sz="8" w:space="0" w:color="87CEFA"/>
      </w:pBdr>
      <w:bidi w:val="0"/>
      <w:spacing w:before="0" w:after="100"/>
      <w:ind w:start="136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2" w:customStyle="1">
    <w:name w:val="12"/>
    <w:pPr>
      <w:widowControl/>
      <w:bidi w:val="0"/>
      <w:spacing w:before="0" w:after="57"/>
      <w:ind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13" w:customStyle="1">
    <w:name w:val="13"/>
    <w:pPr>
      <w:widowControl/>
      <w:bidi w:val="0"/>
      <w:spacing w:before="0" w:after="57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cs-CZ" w:eastAsia="en-US" w:bidi="ar-SA"/>
    </w:rPr>
  </w:style>
  <w:style w:type="paragraph" w:styleId="Zhlavazpat">
    <w:name w:val="Záhlaví a zápatí"/>
    <w:basedOn w:val="Normal"/>
    <w:pPr/>
    <w:rPr/>
  </w:style>
  <w:style w:type="paragraph" w:styleId="Header">
    <w:name w:val="header"/>
    <w:basedOn w:val="Zhlavazpat"/>
    <w:pPr/>
    <w:rPr/>
  </w:style>
  <w:style w:type="numbering" w:styleId="Bezseznamu" w:default="1">
    <w:name w:val="Bez seznamu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LibreOffice/26.8.1.1$Windows_X86_64 LibreOffice_project/bf6ef2662401c7d6dce671ab4deb26ee0af3a7c1</Application>
  <AppVersion>15.0000</AppVersion>
  <Pages>2</Pages>
  <Words>242</Words>
  <Characters>1150</Characters>
  <CharactersWithSpaces>1380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e-Legislativa</dc:creator>
  <dc:description/>
  <dc:language>en-GB</dc:language>
  <cp:lastModifiedBy/>
  <cp:revision>1</cp:revision>
  <dc:subject/>
  <dc:title>2026-0315-001-TVO-1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relationId">
    <vt:lpwstr>a3de5ffb-993d-41ca-a937-89f69ef9bc17:1356</vt:lpwstr>
  </property>
  <property fmtid="{D5CDD505-2E9C-101B-9397-08002B2CF9AE}" pid="3" name="IdPodprostoru">
    <vt:lpwstr>242167</vt:lpwstr>
  </property>
  <property fmtid="{D5CDD505-2E9C-101B-9397-08002B2CF9AE}" pid="4" name="JeUzavrena">
    <vt:lpwstr>True</vt:lpwstr>
  </property>
  <property fmtid="{D5CDD505-2E9C-101B-9397-08002B2CF9AE}" pid="5" name="PozadavekId">
    <vt:lpwstr>b7c4b800-0940-44af-991e-f6ccf39b7522</vt:lpwstr>
  </property>
  <property fmtid="{D5CDD505-2E9C-101B-9397-08002B2CF9AE}" pid="6" name="Verze aplikace">
    <vt:lpwstr>v1.0-07.36.HF4</vt:lpwstr>
  </property>
  <property fmtid="{D5CDD505-2E9C-101B-9397-08002B2CF9AE}" pid="7" name="VrstvaNavrhuId">
    <vt:lpwstr>240293</vt:lpwstr>
  </property>
  <property fmtid="{D5CDD505-2E9C-101B-9397-08002B2CF9AE}" pid="8" name="VrstvaObsahuId">
    <vt:lpwstr>111084</vt:lpwstr>
  </property>
</Properties>
</file>