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120"/>
        <w:jc w:val="right"/>
        <w:rPr>
          <w:rFonts w:ascii="Times New Roman" w:hAnsi="Times New Roman" w:eastAsia="MS Mincho" w:cs="Times New Roman"/>
          <w:b/>
          <w:b/>
          <w:bCs/>
          <w:sz w:val="24"/>
          <w:szCs w:val="24"/>
          <w:lang w:eastAsia="cs-CZ"/>
        </w:rPr>
      </w:pPr>
      <w:r>
        <w:rPr>
          <w:rFonts w:eastAsia="MS Mincho" w:cs="Times New Roman" w:ascii="Times New Roman" w:hAnsi="Times New Roman"/>
          <w:b/>
          <w:bCs/>
          <w:sz w:val="24"/>
          <w:szCs w:val="24"/>
          <w:lang w:eastAsia="cs-CZ"/>
        </w:rPr>
        <w:t>II.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120"/>
        <w:jc w:val="right"/>
        <w:rPr>
          <w:rFonts w:ascii="Times New Roman" w:hAnsi="Times New Roman" w:eastAsia="MS Mincho" w:cs="Times New Roman"/>
          <w:b/>
          <w:b/>
          <w:bCs/>
          <w:sz w:val="24"/>
          <w:szCs w:val="24"/>
          <w:lang w:eastAsia="cs-CZ"/>
        </w:rPr>
      </w:pPr>
      <w:r>
        <w:rPr>
          <w:rFonts w:eastAsia="MS Mincho" w:cs="Times New Roman" w:ascii="Times New Roman" w:hAnsi="Times New Roman"/>
          <w:b/>
          <w:bCs/>
          <w:sz w:val="24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120"/>
        <w:jc w:val="center"/>
        <w:rPr>
          <w:rFonts w:ascii="Times New Roman" w:hAnsi="Times New Roman" w:eastAsia="MS Mincho" w:cs="Times New Roman"/>
          <w:sz w:val="24"/>
          <w:szCs w:val="24"/>
          <w:lang w:eastAsia="cs-CZ"/>
        </w:rPr>
      </w:pPr>
      <w:r>
        <w:rPr>
          <w:rFonts w:eastAsia="MS Mincho" w:cs="Times New Roman" w:ascii="Times New Roman" w:hAnsi="Times New Roman"/>
          <w:sz w:val="24"/>
          <w:szCs w:val="24"/>
          <w:lang w:eastAsia="cs-CZ"/>
        </w:rPr>
        <w:t>N á v r h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120"/>
        <w:jc w:val="center"/>
        <w:outlineLvl w:val="1"/>
        <w:rPr>
          <w:rFonts w:ascii="Times New Roman" w:hAnsi="Times New Roman" w:eastAsia="MS Mincho" w:cs="Times New Roman"/>
          <w:b/>
          <w:b/>
          <w:bCs/>
          <w:sz w:val="24"/>
          <w:szCs w:val="24"/>
          <w:lang w:eastAsia="cs-CZ"/>
        </w:rPr>
      </w:pPr>
      <w:r>
        <w:rPr>
          <w:rFonts w:eastAsia="MS Mincho" w:cs="Times New Roman" w:ascii="Times New Roman" w:hAnsi="Times New Roman"/>
          <w:b/>
          <w:bCs/>
          <w:sz w:val="24"/>
          <w:szCs w:val="24"/>
          <w:lang w:eastAsia="cs-CZ"/>
        </w:rPr>
        <w:t>VYHLÁŠKA</w:t>
      </w:r>
    </w:p>
    <w:p>
      <w:pPr>
        <w:pStyle w:val="Normal"/>
        <w:jc w:val="center"/>
        <w:rPr>
          <w:rFonts w:ascii="Times New Roman" w:hAnsi="Times New Roman" w:eastAsia="MS Mincho" w:cs="Times New Roman"/>
          <w:sz w:val="24"/>
          <w:szCs w:val="24"/>
          <w:lang w:eastAsia="cs-CZ"/>
        </w:rPr>
      </w:pPr>
      <w:r>
        <w:rPr>
          <w:rFonts w:eastAsia="MS Mincho" w:cs="Times New Roman" w:ascii="Times New Roman" w:hAnsi="Times New Roman"/>
          <w:sz w:val="24"/>
          <w:szCs w:val="24"/>
          <w:lang w:eastAsia="cs-CZ"/>
        </w:rPr>
        <w:t>ze dne …………………….2020,</w:t>
      </w:r>
    </w:p>
    <w:p>
      <w:pPr>
        <w:pStyle w:val="NormalWeb"/>
        <w:spacing w:before="280" w:after="280"/>
        <w:jc w:val="both"/>
        <w:rPr>
          <w:b/>
          <w:b/>
          <w:bCs/>
        </w:rPr>
      </w:pPr>
      <w:r>
        <w:rPr>
          <w:b/>
          <w:bCs/>
        </w:rPr>
        <w:t>o hodnocení výsledků vzdělávání žáků ve druhém pololetí školního roku 2019/2020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Ministerstvo školství, mládeže a tělovýchovy stanoví podle § 56, § 71 a § 112 zákona</w:t>
        <w:br/>
        <w:t>č. 561/2004 Sb., o předškolním, základním, středním, vyšším odborném a jiném vzdělávání (školský zákon):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(1) V základním, středním vzdělávání a vzdělávání v konzervatoři vychází hodnocení výsledků vzdělávání žáka za druhé pololetí školního roku 2019/2020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z podkladů pro hodnocení získaných v druhém pololetí v době, kdy byla umožněná osobní přítomnost žáků na vzdělávání, 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 podpůrně z podkladů pro hodnocení získaných při vzdělávání na dálku probíhajícího v době, kdy žák nebyl osobně přítomen na vzdělávání, pokud měl pro takové vzd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ělávání žák podmínky, 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 nelze-li vycházet pouze z písm. a) a b), pak lze přihlédnout k hodnocení výsledků žáka za první pololetí školního roku 2019/2020. 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(2) Pravidla ve školním řádu nebo pravidla pro hodnocení výsledků vzdělávání žáků schválená školskou radou, která jsou v rozporu s odstavcem 1 nebo která neumožňují hodnocení žáků za druhé pololetí školního roku 2019/2020 podle odstavce 1 se nepoužijí.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(3) Ve středním vzdělávání a ve vzdělávání v konzervatoři může hodnocení výsledků vzdělávání žáka za druhé pololetí školního roku 2019/2020 vycházet také z podkladů o vykonané pracovní povinnosti podle krizového zákona nebo dobrovolné pomoci, pokud jsou relevantní ve vztahu k oboru vzdělání.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(4) Odstavec 1 se použije přiměřeně také pro vzdělávání v základní umělecké škole.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2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 hodnocení na vysvědčení za druhé pololetí školního roku 2019/2020 žáka střední školy nebo konzervatoře, který se přihlásil na jarní zkušební období roku 2020 k maturitní zkoušce nebo závěrečné zkoušce, se nepoužije § 3 odst. 1 písm. e), § 3 odst. 2, § 3 odst. 6 písm. c) a d) a § 3 odst. 9 vyhlášky č. 13/2005 Sb., o středním vzdělávání a vzdělávání v konzervatoři, </w:t>
      </w:r>
      <w:r>
        <w:rPr>
          <w:rFonts w:cs="Times New Roman" w:ascii="Times New Roman" w:hAnsi="Times New Roman"/>
          <w:sz w:val="24"/>
          <w:szCs w:val="24"/>
          <w:lang w:val="sk-SK"/>
        </w:rPr>
        <w:t>ve znění pozd</w:t>
      </w:r>
      <w:r>
        <w:rPr>
          <w:rFonts w:cs="Times New Roman" w:ascii="Times New Roman" w:hAnsi="Times New Roman"/>
          <w:sz w:val="24"/>
          <w:szCs w:val="24"/>
        </w:rPr>
        <w:t>ějších předpisů.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3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Ředitel školy informuje žáky a jejich zákonné zástupce o způsobu hodnocení výsledků žáka za druhé pololetí školního roku 2019/2020.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Účinnost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Tato vyhláška nabývá účinnosti dnem jejího vyhlášení.</w:t>
      </w:r>
    </w:p>
    <w:p>
      <w:pPr>
        <w:pStyle w:val="NormalWeb"/>
        <w:spacing w:before="280" w:after="28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e7c5a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c2cd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e7c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2" ma:contentTypeDescription="Vytvoří nový dokument" ma:contentTypeScope="" ma:versionID="d0bce49f39369d23ea3ba6ecd0f944a2">
  <xsd:schema xmlns:xsd="http://www.w3.org/2001/XMLSchema" xmlns:xs="http://www.w3.org/2001/XMLSchema" xmlns:p="http://schemas.microsoft.com/office/2006/metadata/properties" xmlns:ns2="dd24b7f9-e3ee-43c2-949c-e36816f2a2d5" targetNamespace="http://schemas.microsoft.com/office/2006/metadata/properties" ma:root="true" ma:fieldsID="e6b3fcaf007b4f827962b9c30af9dc5a" ns2:_="">
    <xsd:import namespace="dd24b7f9-e3ee-43c2-949c-e36816f2a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ECF79-21C6-441E-BD59-3C19679F1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7D902-31C8-4D1A-85B2-FFE2B5CD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B140E-7F89-4416-92E2-E392A5B33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LibreOffice/6.4.2.2$Windows_X86_64 LibreOffice_project/4e471d8c02c9c90f512f7f9ead8875b57fcb1ec3</Application>
  <Pages>2</Pages>
  <Words>338</Words>
  <Characters>1806</Characters>
  <CharactersWithSpaces>2126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2020-04-09T13:15:00Z</dcterms:created>
  <dc:creator>Piskláková Hana</dc:creator>
  <dc:description/>
  <dc:language>cs-CZ</dc:language>
  <cp:lastModifiedBy>Němčák Vítězslav, Mgr. Bc., Ph.D.</cp:lastModifiedBy>
  <dcterms:modified xsi:type="dcterms:W3CDTF">2020-04-09T12:28:00Z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0x01010015AC6C446A9AEC4887B6240C14C150AE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