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III.</w:t>
      </w:r>
    </w:p>
    <w:p>
      <w:pPr>
        <w:pStyle w:val="Normal"/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Návrh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ZÁKON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ze dne … 2027,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3571948"/>
      <w:r>
        <w:rPr>
          <w:rFonts w:cs="Times New Roman" w:ascii="Times New Roman" w:hAnsi="Times New Roman"/>
          <w:b/>
          <w:bCs/>
          <w:sz w:val="24"/>
          <w:szCs w:val="24"/>
        </w:rPr>
        <w:t>o implementaci předpisu Evropské unie v oblasti umělé inteligence a o změně některých souvisejících zákonů</w:t>
      </w:r>
      <w:bookmarkEnd w:id="0"/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Parlament se usnesl na tomto zákoně České republiky: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ČÁST PRVNÍ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UMĚLÁ INTELIGENCE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§ 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Předmět úpravy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Tento zákon upravuje v návaznosti na přímo použitelné předpisy Evropské unie</w:t>
      </w:r>
      <w:r>
        <w:rPr>
          <w:rStyle w:val="FootnoteReference"/>
          <w:rFonts w:ascii="Times New Roman" w:hAnsi="Times New Roman"/>
          <w:color w:val="auto"/>
          <w:sz w:val="24"/>
        </w:rPr>
        <w:footnoteReference w:id="2"/>
      </w:r>
      <w:r>
        <w:rPr>
          <w:rFonts w:ascii="Times New Roman" w:hAnsi="Times New Roman"/>
          <w:color w:val="auto"/>
          <w:sz w:val="24"/>
          <w:vertAlign w:val="superscript"/>
        </w:rPr>
        <w:t>)</w:t>
      </w:r>
      <w:r>
        <w:rPr>
          <w:rFonts w:ascii="Times New Roman" w:hAnsi="Times New Roman"/>
          <w:color w:val="auto"/>
          <w:sz w:val="24"/>
        </w:rPr>
        <w:t xml:space="preserve"> 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některé postupy související s uplatněním nařízení Evropského parlamentu a rady (EU) 2024/1689, ve znění nařízení Evropského parlamentu a Rady (EU) 2026/1744, (dále jen „nařízení o umělé inteligenci“),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/>
          <w:color w:val="auto"/>
          <w:sz w:val="24"/>
        </w:rPr>
      </w:pPr>
      <w:bookmarkStart w:id="1" w:name="_Hlk207183128"/>
      <w:r>
        <w:rPr>
          <w:rFonts w:ascii="Times New Roman" w:hAnsi="Times New Roman"/>
          <w:color w:val="auto"/>
          <w:sz w:val="24"/>
        </w:rPr>
        <w:t>podmínky pro provoz kontrolovaného testovacího prostředí pro umělou inteligenci (dále jen „regulační sandbox“)</w:t>
      </w:r>
      <w:bookmarkEnd w:id="1"/>
      <w:r>
        <w:rPr>
          <w:rFonts w:ascii="Times New Roman" w:hAnsi="Times New Roman"/>
          <w:color w:val="auto"/>
          <w:sz w:val="24"/>
        </w:rPr>
        <w:t>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některé povinnosti provozovatelů systémů umělé inteligence a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výkon státní správy v oblasti umělé inteligence.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Oznamující orgán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Oznamujícím orgánem podle čl. 70 odst. 1 nařízení o umělé inteligenci je Úřad pro technickou normalizaci, metrologii a státní zkušebnictví.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Úřad pro technickou normalizaci, metrologii a státní zkušebnictví 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rozhoduje o žádostech o oznámení subjektů posuzování shody podle čl. 29 nařízení o umělé inteligenci a oznamuje Evropské komisi postupem podle čl. 30 tohoto nařízení subjekty posuzování shody,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posuzuje rovnocennost úrovně souladu podle čl. 39 nařízení o umělé inteligenci, je-li to potřebné pro posouzení žádosti o oznámení,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rozhoduje o změnách oznámení podle čl. 36 nařízení o umělé inteligenci,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přebírá a uchovává dokumentaci týkající se činností prováděných oznámenými subjekty, má-li dojít k jejich zániku bez právního nástupce,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poskytuje Evropské komisi informace podle čl. 37 odst. 2 nařízení o umělé inteligenci,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na výzvu Evropské komise podle čl. 37 odst. 4 nařízení o umělé inteligenci přijímá nezbytná nápravná opatření,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vznáší námitky proti oznámením provedeným ostatními členskými státy podle čl. 30 odst. 4 nařízení o umělé inteligenci,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oznamuje relevantní změny podle čl. 36 odst. 1 nařízení o umělé inteligenci,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uvědomuje Evropskou komisi podle čl. 41 odst. 6 nařízení o umělé inteligenci,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účastní se jednání orgánů členských států odpovědných za oznamování organizovaných Evropskou komisí,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kontroluje dodržování povinností, které z nařízení o umělé inteligenci a tohoto zákona vyplývají oznámeným subjektům.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Orgány dozoru nad trhem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Orgány dozoru nad trhem podle čl. 70 odst. 1 nařízení o umělé inteligenci jsou Český telekomunikační úřad, Česká národní banka a Úřad pro ochranu osobních údajů.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Český telekomunikační úřad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3"/>
        </w:numPr>
        <w:spacing w:lineRule="auto" w:line="240" w:before="0" w:after="288"/>
        <w:ind w:hanging="426" w:start="426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kontroluje dodržování povinností, které vyplývají z nařízení o umělé inteligenci a tohoto zákona, a vykonává další činnosti orgánu dozoru nad trhem vyplývající z nařízení o umělé inteligenci, není-li v odstavcích 3 a 4 nebo § 2 odst. 2 stanoveno jinak,</w:t>
      </w:r>
    </w:p>
    <w:p>
      <w:pPr>
        <w:pStyle w:val="ListParagraph"/>
        <w:numPr>
          <w:ilvl w:val="0"/>
          <w:numId w:val="23"/>
        </w:numPr>
        <w:spacing w:lineRule="auto" w:line="240" w:before="0" w:after="288"/>
        <w:ind w:hanging="426" w:start="426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je jednotným kontaktním místem podle čl. 70 odst. 2 nařízení o umělé inteligenci,</w:t>
      </w:r>
    </w:p>
    <w:p>
      <w:pPr>
        <w:pStyle w:val="ListParagraph"/>
        <w:numPr>
          <w:ilvl w:val="0"/>
          <w:numId w:val="23"/>
        </w:numPr>
        <w:spacing w:lineRule="auto" w:line="240" w:before="0" w:after="288"/>
        <w:ind w:hanging="426" w:start="426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je příslušným orgánem podle čl. 73 odst. 10 nařízení o umělé inteligenci,</w:t>
      </w:r>
    </w:p>
    <w:p>
      <w:pPr>
        <w:pStyle w:val="ListParagraph"/>
        <w:numPr>
          <w:ilvl w:val="0"/>
          <w:numId w:val="23"/>
        </w:numPr>
        <w:spacing w:lineRule="auto" w:line="240" w:before="0" w:after="288"/>
        <w:ind w:hanging="426" w:start="426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vypracovává zprávu o pokutách podle čl. 99 odst. 11 nařízení o umělé inteligenci.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Česká národní banka kontroluje dodržování povinností, které z nařízení o umělé inteligenci a tohoto zákona vyplývají osobám podléhajícím dohledu České národní banky podle jiného zákona při výkonu činnosti, kterou tyto osoby vykonávají na základě povolení, licence, registrace nebo oprávnění k činnosti uděleného Českou národní bankou, včetně uvádění systému umělé inteligence přímo určeného k výkonu takové činnosti na trh nebo do provozu pod vlastním jménem, názvem nebo ochrannou známkou a pro vlastní použití, a vykonává další činnosti orgánu dozoru nad trhem vyplývající z nařízení o umělé inteligenci ve vztahu k takové činnosti.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Úřad pro ochranu osobních údajů kontroluje dodržování povinností, které z nařízení o umělé inteligenci a tohoto zákona vyplývají v souvislosti s vysoce rizikovými systémy umělé inteligence podle čl. 74 odst. 8 nařízení o umělé inteligenci, a vykonává další činnosti orgánu dozoru nad trhem vyplývající ve vztahu k těmto systémům z nařízení o umělé inteligenci.</w:t>
      </w:r>
      <w:bookmarkStart w:id="2" w:name="_Hlk231214004"/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 </w:t>
      </w:r>
      <w:bookmarkEnd w:id="2"/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cs-CZ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Orgán dozoru nad trhem příslušný ke kontrole plnění povinností poskytovatele dotčeného vysoce rizikového systému vydává potvrzení a prodlužuje prozatímní platnost certifikátu podle čl. 36 odst. 9 nařízení o umělé inteligenci.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  <w:lang w:eastAsia="cs-CZ"/>
        </w:rPr>
      </w:pPr>
      <w:r>
        <w:rPr>
          <w:rFonts w:cs="Times New Roman" w:ascii="Times New Roman" w:hAnsi="Times New Roman"/>
          <w:color w:val="auto"/>
          <w:sz w:val="24"/>
          <w:szCs w:val="24"/>
          <w:lang w:eastAsia="cs-CZ"/>
        </w:rPr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  <w:lang w:eastAsia="cs-CZ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  <w:lang w:eastAsia="cs-CZ"/>
        </w:rPr>
        <w:t>Orgán dozoru nad trhem může v souvislosti se svou činností podle nařízení o umělé inteligenci nebo tohoto zákona podat žádost o podporu podle čl. 69 odst. 1 nařízení o umělé inteligenci.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Ministerstvo průmyslu a obchodu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Ministerstvo průmyslu a obchodu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jmenuje zástupce České republiky v Evropské radě pro umělou inteligenci podle čl. 65 odst. 3 nařízení o umělé inteligenci,</w:t>
      </w:r>
    </w:p>
    <w:p>
      <w:pPr>
        <w:pStyle w:val="ListParagraph"/>
        <w:numPr>
          <w:ilvl w:val="0"/>
          <w:numId w:val="3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podporuje a usnadňuje vypracování kodexů chování podle čl. 95 nařízení o umělé inteligenci,</w:t>
      </w:r>
    </w:p>
    <w:p>
      <w:pPr>
        <w:pStyle w:val="ListParagraph"/>
        <w:numPr>
          <w:ilvl w:val="0"/>
          <w:numId w:val="3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podává žádost o aktualizaci pokynů podle čl. 96 odst. 2 nařízení o umělé inteligenci,</w:t>
      </w:r>
    </w:p>
    <w:p>
      <w:pPr>
        <w:pStyle w:val="ListParagraph"/>
        <w:numPr>
          <w:ilvl w:val="0"/>
          <w:numId w:val="3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poskytuje Evropské komisi informace podle čl. 112 odst. 8 nařízení o umělé inteligenci.</w:t>
      </w:r>
    </w:p>
    <w:p>
      <w:pPr>
        <w:pStyle w:val="Normal"/>
        <w:spacing w:lineRule="auto" w:line="240" w:before="0" w:after="288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5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Veřejný ochránce práv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strike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Veřejný ochránce práv zjišťuje orgány veřejné moci a další subjekty chránící základní práva podle čl. 77 odst. 2 nařízení o umělé inteligenci, vede a aktualizuje jejich seznam a sděluje změny v tomto seznamu Evropské komisi a ostatním členským státům.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strike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strike/>
          <w:color w:val="auto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Povolení uvedení vysoce rizikového systému umělé inteligence na trh nebo do provozu bez posouzení shody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Účastníkem řízení o žádosti o povolení uvedení vysoce rizikového systému umělé inteligence na trh nebo do provozu na území České republiky bez posouzení shody podle čl. 46 odst. 1 nařízení o umělé inteligenci je pouze žadatel. 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O žádosti o povolení podle odstavce 1 rozhodne orgán dozoru nad trhem nejpozději do 120 dnů ode dne zahájení řízení.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Zahájí-li Evropská komise s Českou republikou konzultace podle čl. 46 odst. 5 nařízení o umělé inteligenci, orgán dozoru nad trhem o tom dotčeného držitele povolení vyrozumí. Orgán dozoru nad trhem poskytne Evropské komisi a držiteli povolení součinnost potřebnou pro jeho konzultování a předložení jeho stanoviska podle čl. 46 odst. 5 tohoto nařízení.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spacing w:lineRule="auto" w:line="240" w:before="0" w:after="0"/>
        <w:ind w:start="360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7</w:t>
      </w:r>
    </w:p>
    <w:p>
      <w:pPr>
        <w:pStyle w:val="ListParagraph"/>
        <w:spacing w:lineRule="auto" w:line="240" w:before="0" w:after="0"/>
        <w:ind w:start="360"/>
        <w:contextualSpacing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Změna a zrušení povolení uvedení vysoce rizikového systému umělé inteligence na trh nebo do provozu na území České republiky bez posouzení shody</w:t>
      </w:r>
    </w:p>
    <w:p>
      <w:pPr>
        <w:pStyle w:val="ListParagraph"/>
        <w:spacing w:lineRule="auto" w:line="240" w:before="0" w:after="0"/>
        <w:ind w:start="360"/>
        <w:contextualSpacing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Orgán dozoru nad trhem, který povolení podle § 6 odst. 1 udělil, povolení zruší nebo změní, pokud nejsou splněny podmínky podle čl. 46 odst. 1 nebo 3 nařízení o umělé inteligenci nebo pokud došlo ke změně skutčností rozhodných pro udělení povolení. 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Prvním úkonem v řízení podle odstavce 1 může být vydání rozhodnutí. Rozklad proti rozhodnutí v tomto řízení nemá odkladný účinek.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8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Schválení testování vysoce rizikového systému umělé inteligence v reálných podmínkách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Účastníkem řízení o schválení testování vysoce rizikového systému umělé inteligence v reálných podmínkách na území České republiky a plánu testování podle čl. 60 odst. 4 písm. b) nařízení o umělé inteligenci je pouze žadatel.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Orgán dozoru nad trhem vyzve žadatele podle odstavce 1 ke změně nebo doplnění předloženého plánu testování, pokud lze očekávat, že bude možné žádosti po její změně nebo doplnění vyhovět.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Ve zvlášť složitých případech rozhodne o žádosti o schválení podle odstavce 1 příslušný orgán dozoru nad trhem nejpozději do 90 dnů ode dne zahájení řízení. Fikce schválení podle čl. 60 odst. 4 písm. b) nařízení o umělé inteligenci se pro účely schválení testování vysoce rizikového systému umělé inteligence v reálných podmínkách na území České republiky a plánu testování neuplatní.</w:t>
      </w:r>
      <w:r>
        <w:rPr>
          <w:rFonts w:cs="Times New Roman" w:ascii="Times New Roman" w:hAnsi="Times New Roman"/>
          <w:strike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color w:val="auto"/>
          <w:sz w:val="24"/>
          <w:szCs w:val="24"/>
        </w:rPr>
        <w:t>Příslušný orgán dozoru nad trhem vyrozumí žadatele o uplatnění lhůty podle věty první ve lhůtě 30 dnů ode dne zahájení řízení.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ind w:start="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9</w:t>
      </w:r>
    </w:p>
    <w:p>
      <w:pPr>
        <w:pStyle w:val="Normal"/>
        <w:spacing w:lineRule="auto" w:line="240" w:before="0" w:after="0"/>
        <w:ind w:start="28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Oznamovací povinnost při změně skutečností</w:t>
      </w:r>
    </w:p>
    <w:p>
      <w:pPr>
        <w:pStyle w:val="Normal"/>
        <w:spacing w:lineRule="auto" w:line="240" w:before="0" w:after="0"/>
        <w:ind w:start="284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Dojde-li ke změnám skutečností, ze kterých vycházelo rozhodnutí podle § 6 nebo 8, je osoba, jejíž žádosti o vydání tohoto rozhodnutí bylo vyhověno, povinna tyto změny oznámit příslušnému orgánu dozoru nad trhem do 15 dnů ode dne, kdy dozvěděla.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Řízení o opatření k nápravě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Účastníkem řízení podle čl. 73 odst. 8, čl. 76 odst. 3, čl. 79 odst. 5, čl. 80 odst. 6 a čl. 83 odst. 2 nařízení o umělé inteligenci je pouze osoba, které má být opatření k nápravě uloženo.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Prvním úkonem v řízení podle odstavce 1 může být vydání rozhodnutí. Rozklad proti rozhodnutí v tomto řízení nemá odkladný účinek.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Orgán dozoru nad trhem zruší opatření, které uložil podle čl. 79 odst. 5 nařízení o umělé inteligenci, rozhodne-li Evropská komise o neodůvodněnosti opatření podle čl. 81 odst. 2 tohoto nařízení.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Uchování dokumentace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Ukončí-li poskytovatel nebo zplnomocněný zástupce svou činnost, předá dokumentaci podle čl. 18 odst. 1 nařízení o umělé inteligenci orgánu dozoru nad trhem příslušnému podle § 3 do 15 dnů od okamžiku zanechání této činnosti.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start="567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Povinnost uchovávat dokumentaci podle čl. 18 odst. 1 nařízení o umělé inteligenci přechází na právního nástupce poskytovatele nebo zplnomocněného zástupce. Jestliže tento právní nástupce nepokračuje v činnosti poskytovatele nebo zplnomocněného zástupce, jeho povinnost uchovávat dokumentaci zanikne okamžikem předání této dokumentace orgánu dozoru nad trhem příslušnému podle § 3.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Má-li poskytovatel nebo jeho zplnomocněný zástupce, kteří jsou usazeni na území České republiky, zaniknout bez právního nástupce, předá dokumentaci podle čl. 18 odst. 1 nařízení o umělé inteligenci přede dnem jejich zániku likvidátor, insolvenční správce nebo jiná osoba, která má tuto dokumentaci ve své moci, orgánu dozoru nad trhem příslušnému podle § 3.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Odstavce 1 a 3 se nepoužijí, jde-li o poskytovatele podle čl. 18 odst. 3 nařízení o umělé inteligenci.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Použití zákona o posuzování shody stanovených výrobků při jejich dodávání na trh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Na oznamování subjektů posuzování shody Evropské komisi, změny těchto oznámení, povinnosti oznámených subjektů a jejich kontrolu se použije zákon upravující posuzování shody stanovených výrobků při jejich dodávání na trh obdobně, nestanoví-li tento zákon jinak.</w:t>
      </w:r>
    </w:p>
    <w:p>
      <w:pPr>
        <w:pStyle w:val="ListParagraph"/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Posuzování shody Úřadem pro ochranu osobních údajů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Úřad pro ochranu osobních údajů jedná jako oznámený subjekt v případech uvedení vysoce rizikového systému umělé inteligence na trh nebo do provozu orgánem České republiky podle čl. 43 odst. 1 věty poslední nařízení o umělé inteligenci.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Úřad pro ochranu osobních údajů uzavře s poskytovatelem vysoce rizikového systému umělé inteligence podle odstavce 1 smlouvu, jejímž předmětem jsou činnosti při posuzování shody a činnosti s posuzováním shody související.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Poskytovatel vysoce rizikového systému umělé inteligence podle odstavce 1 uhradí Úřadu pro ochranu osobních údajů skutečně vynaložené náklady spojené s posouzením shody.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Jazykové požadavky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Oznámený subjekt usazený v České republice vyhotoví certifikát podle čl. 44 odst. 1 nařízení o umělé inteligenci v českém nebo anglickém jazyce. 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Provozovatel předloží orgánu dozoru nad trhem informace nezbytné k prokázání shody systému umělé inteligence v českém, slovenském nebo anglickém jazyce.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Poskytovatel je povinen zajistit, aby prohlášení o shodě podle čl. 47 odst. 2 nařízení o umělé inteligenci bylo vypracováno v českém nebo anglickém jazyce.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paragraph"/>
        <w:spacing w:beforeAutospacing="0" w:before="0" w:afterAutospacing="0" w:after="0"/>
        <w:textAlignment w:val="baseline"/>
        <w:rPr>
          <w:i/>
          <w:iCs/>
        </w:rPr>
      </w:pPr>
      <w:r>
        <w:rPr>
          <w:i/>
          <w:iCs/>
        </w:rPr>
        <w:t>CELEX 32024R1689</w:t>
      </w:r>
    </w:p>
    <w:p>
      <w:pPr>
        <w:pStyle w:val="paragraph"/>
        <w:spacing w:beforeAutospacing="0" w:before="0" w:afterAutospacing="0" w:after="0"/>
        <w:textAlignment w:val="baseline"/>
        <w:rPr/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15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Podmínky pro provoz regulačního sandboxu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Zřizovatelem regulačního sandboxu podle čl. 57 odst. 1 nařízení o umělé inteligenci je Úřad pro technickou normalizaci, metrologii a státní zkušebnictví. 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Zřizovatel regulačního sandboxu provádí úkony, které nebyly svěřeny provozovateli regulačního sandboxu.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trike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Ke zřízení regulačního sandboxudochází nabytím účinnosti opatření obecné povahy podle § 17 odst. 2.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Provozovatel regulačního sandboxu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4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Česká agentura pro standardizaci je provozovatelem regulačního sandboxu a za tímto účelem zejména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provádí výběr účastníků regulačního sandboxu,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poskytuje služby související s účastí v regulačním sandboxu,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zajišťuje materiální prostředky a technické zázemí potřebné pro fungování regulačního sandboxu,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plní další povinnosti, které mu ukládají podmínky provozování regulačního sandboxu stanovené opatřením obecné povahy.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17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Podmínky provozování regulačního sandboxu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(1) Právo provádět  kontrolované testování v regulačním sandboxu vzniká na základě smlouvy uzavřené mezi zájemcem o účast v regulačním sandboxu a jeho provozovatelem.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4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Podmínky provozování regulačního sandboxu, které upravují práva a povinnosti účastníků regulačního sandboxu, uchazečů o účast v něm a jeho provozovatele, vydá Úřad pro technickou normalizaci, metrologii a státní zkušebnictví opatřením obecné povahy.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>
        <w:rPr>
          <w:rFonts w:cs="Times New Roman" w:ascii="Times New Roman" w:hAnsi="Times New Roman"/>
          <w:strike/>
          <w:color w:val="auto"/>
          <w:sz w:val="24"/>
          <w:szCs w:val="24"/>
        </w:rPr>
      </w:r>
    </w:p>
    <w:p>
      <w:pPr>
        <w:pStyle w:val="ListParagraph"/>
        <w:numPr>
          <w:ilvl w:val="0"/>
          <w:numId w:val="4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trike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Opatření obecné povahy se vydává bez řízení o návrhu opatření obecné povahy.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4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Arial" w:hAnsi="Arial" w:cs="Arial"/>
          <w:color w:val="auto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color w:val="auto"/>
          <w:sz w:val="24"/>
          <w:szCs w:val="24"/>
        </w:rPr>
        <w:t>Opatření obecné povahy podle odstavce 2 nabývá účinnosti dnem jeho vyvěšení na úřední desce Úřadu pro technickou normalizaci, metrologii a státní zkušebnictví.</w:t>
      </w:r>
      <w:r>
        <w:rPr/>
        <w:t xml:space="preserve"> </w:t>
      </w:r>
      <w:r>
        <w:rPr>
          <w:rFonts w:cs="Times New Roman" w:ascii="Times New Roman" w:hAnsi="Times New Roman"/>
          <w:color w:val="auto"/>
          <w:sz w:val="24"/>
          <w:szCs w:val="24"/>
        </w:rPr>
        <w:t>Oznamuje se také vyhlášením ve Věstníku Úřadu pro technickou normalizaci, metrologii a státní zkušebnictví. Úřad pro technickou normalizaci, metrologii a státní zkušebnictví zveřejní opatření obecné povahy také na svých internetových stránkách.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Hlk243467992"/>
      <w:r>
        <w:rPr>
          <w:rFonts w:cs="Times New Roman" w:ascii="Times New Roman" w:hAnsi="Times New Roman"/>
          <w:color w:val="auto"/>
          <w:sz w:val="24"/>
          <w:szCs w:val="24"/>
        </w:rPr>
        <w:t>§ 18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Vyloučení odpovědnosti za přestupek</w:t>
      </w:r>
      <w:bookmarkEnd w:id="3"/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Čin jinak trestný jako přestupek není přestupkem, jsou-li splněny podmínky pro neuložení pokuty podle čl. 57 odst. 12 nařízení o umělé inteligenci.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19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Vztah k zákonu o výzkumu, vývoji, inovacích a transferu znalostí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spacing w:lineRule="auto" w:line="240" w:before="0" w:after="0"/>
        <w:ind w:firstLine="360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Na regulační sandbox zřízený podle § 15 odst. 3 se nepoužije § 63 zákona upravujícího výzkum, vývoj, inovace a transfer znalostí.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Hlk224651965"/>
      <w:r>
        <w:rPr>
          <w:rFonts w:cs="Times New Roman" w:ascii="Times New Roman" w:hAnsi="Times New Roman"/>
          <w:color w:val="auto"/>
          <w:sz w:val="24"/>
          <w:szCs w:val="24"/>
        </w:rPr>
        <w:t>§ 20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Portál umělé inteligence v kritické infrastruktuře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numPr>
          <w:ilvl w:val="0"/>
          <w:numId w:val="34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Portál umělé inteligence v kritické infrastruktuře je součástí Portálu kritické infrastruktury podle § 20 zákona o kritické infrastruktuře a slouží k registraci systémů umělé inteligence podle čl. 49 odst. 5 nařízení o umělé inteligenci.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34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Informace obsažené v portálu umělé inteligence v kritické infrastruktuře užívají orgány dozoru nad trhem v rozsahu nezbytném pro výkon jejich působnosti podle nařízení o umělé inteligenci a tohoto zákona.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Registrace systémů umělé inteligence v kritické infrastruktuře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Poskytovatel vysoce rizikového systému umělé inteligence podle přílohy III bodu 2 nařízení o umělé inteligenci je povinen před jeho uvedením na trh nebo do provozu v České republice vložit do portálu umělé inteligence v kritické infrastruktuře údaje podle přílohy VIII Oddílu A nařízení o umělé inteligenci a tyto údaje aktualizovat do 15 dnů od okamžiku, kdy dojde k jejich změně.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Poskytovatel systému umělé inteligence podle čl. 6 odst. 4 nařízení o umělé inteligenci podle přílohy III bodu 2 nařízení o umělé inteligenci je povinen před jeho uvedením na trh nebo do provozu v České republice vložit do portálu umělé inteligence v kritické infrastruktuře údaje podle přílohy VIII Oddílu B nařízení o umělé inteligenci a tyto údaje aktualizovat do 15 dnů od okamžiku, kdy dojde k jejich změně.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5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Registrace testování vysoce rizikového systému umělé inteligence podle přílohy III bodu 2 nařízení o umělé inteligenci v reálných podmínkách v České republice podle čl. 60 odst. 4 písm. c) nařízení o umělé inteligenci se provádí vložením a následnou aktualizací údajů podle přílohy IX nařízení o umělé inteligenci do portálu umělé inteligence v kritické infrastruktuře; aktualizace údajů se provádí do 15 dnů od okamžiku, kdy dojde k jejich změně.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  <w:bookmarkEnd w:id="4"/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22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Použití právních předpisů z oblasti  dozoru nad trhem s výrobky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widowControl w:val="false"/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Při výkonu dozoru nad dodržováním povinností podle nařízení o umělé inteligenci a tohoto zákona postupují orgány dozoru nad trhem podle přímo použitelného předpisu Evropské unie upravujícího dozor nad trhem s výrobky</w:t>
      </w:r>
      <w:r>
        <w:rPr>
          <w:rStyle w:val="FootnoteReference"/>
          <w:rFonts w:cs="Times New Roman" w:ascii="Times New Roman" w:hAnsi="Times New Roman"/>
          <w:color w:val="auto"/>
          <w:sz w:val="24"/>
          <w:szCs w:val="24"/>
          <w:u w:val="single"/>
        </w:rPr>
        <w:footnoteReference w:id="3"/>
      </w:r>
      <w:r>
        <w:rPr>
          <w:rFonts w:cs="Times New Roman" w:ascii="Times New Roman" w:hAnsi="Times New Roman"/>
          <w:color w:val="auto"/>
          <w:sz w:val="24"/>
          <w:szCs w:val="24"/>
          <w:u w:val="single"/>
          <w:vertAlign w:val="superscript"/>
        </w:rPr>
        <w:t>)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. Zákon upravující dozor nad trhem s výrobky se na postup orgánů dozoru nad trhem použije obdobně.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23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Výměna informací mezi orgány dozoru nad trhem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Český telekomunikační úřad a Úřad pro ochranu osobních údajů vyrozumí ostatní orgány dozoru nad trhem o zahájení kontroly nebo řízení podle tohoto zákona a o předmětu této kontroly nebo řízení.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Je-li to nezbytné pro zajištění koordinace mezi orgány dozoru nad trhem a řádného výkonu dozoru nad trhem, poskytují si Český telekomunikační úřad a Česká národní banka navzájem v nezbytném rozsahu součinnost, zejména konzultace, odborná stanoviska a informace potřebné pro výkon dozoru nad trhem podle tohoto zákona. Poskytnutí informací zjištěných při výkonu dozoru podle nařízení o umělé inteligenci a tohoto zákona se nepovažuje za porušení povinnosti mlčenlivosti podle jiného právního předpisu.</w:t>
      </w:r>
    </w:p>
    <w:p>
      <w:pPr>
        <w:pStyle w:val="Normal"/>
        <w:widowControl w:val="false"/>
        <w:spacing w:lineRule="auto" w:line="240" w:before="0" w:after="0"/>
        <w:ind w:star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star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24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Přístup k chráněným informacím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Český telekomunikační úřad má pravomoc seznamovat se s informacemi nezbytnými pro výkon činnosti orgánu dozoru nad trhem v konkrétní věci, které jsou předmětem bankovního </w:t>
      </w:r>
      <w:r>
        <w:rPr>
          <w:rFonts w:cs="Times New Roman" w:ascii="Times New Roman" w:hAnsi="Times New Roman"/>
          <w:strike/>
          <w:color w:val="auto"/>
          <w:sz w:val="24"/>
          <w:szCs w:val="24"/>
        </w:rPr>
        <w:t>a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nebo jiného obdobného zákonem chráněného tajemství nebo povinnosti mlčenlivosti, které jsou povinny zachovávat osoby podle § 3 odst. 3.</w:t>
      </w:r>
    </w:p>
    <w:p>
      <w:pPr>
        <w:pStyle w:val="ListParagraph"/>
        <w:widowControl w:val="false"/>
        <w:spacing w:lineRule="auto" w:line="240" w:before="0" w:after="0"/>
        <w:ind w:firstLine="36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widowControl w:val="false"/>
        <w:spacing w:lineRule="auto" w:line="240" w:before="0" w:after="0"/>
        <w:ind w:firstLine="36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25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Poskytnutí stanoviska jiným správním úřadem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3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Je-li pro řádný postup v řízení vedeném orgánem dozoru nad trhem podle nařízení o umělé inteligenci nebo podle tohoto zákona vhodné posouzení dodržování požadavků na kybernetickou bezpečnost systému umělé inteligence stanovených v nařízení o umělé inteligenci, může si tento orgán dozoru nad trhem vyžádat stanovisko Národního úřadu pro kybernetickou a informační bezpečnost. Orgán dozoru nad trhem poskytne Národnímu úřadu pro kybernetickou a informační bezpečnost podklady, které ve vztahu k tomuto systému umělé inteligence opatřil.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3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Souvisí-li řízení vedené orgánem dozoru nad trhem podle nařízení o umělé inteligenci nebo podle tohoto zákona s dodržováním požadavků právních předpisů upravujících zpracování a ochranu osobních údajů, může si tento orgán dozoru nad trhem vyžádat stanovisko Úřadu pro ochranu osobních údajů.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before="0" w:after="160"/>
        <w:ind w:firstLine="567" w:start="0"/>
        <w:contextualSpacing w:val="fals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3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Národní úřad pro kybernetickou a informační bezpečnost a Úřad pro ochranu osobních údajů vydají stanovisko podle odstavce 1 nebo 2 bez zbytečného odkladu. Ode dne požádánío toto stanovisko do dne jeho obdržení neběží lhůta pro vydání rozhodnutí ve věci, ve které orgán dozoru nad trhem o stanovisko požádal.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26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Pověření ke kontrole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widowControl w:val="false"/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Pověření ke kontrole při provádění dozoru Českým telekomunikačním úřadem se prokazuje také průkazem, jehož vzor stanoví Ministerstvo průmyslu a obchodu vyhláškou.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12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27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Upozornění na porušení povinnosti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Jestliže je vzhledem k významu a míře porušení nebo ohrožení chráněného zájmu, který byl činem provozovatele nebo oznámeného subjektu dotčen, způsobu provedení činu, jeho následku, okolnostem, za nichž byl čin spáchán, nebo vzhledem k chování provozovatele nebo oznámeného subjektu po spáchání činu zřejmé, že účelu, jehož by bylo možno dosáhnout provedením řízení o přestupku podle tohoto zákona, bylo dosaženo nebo jej lze dosáhnout jinak, může orgán dozoru nad trhem nebo Úřad pro technickou normalizaci, metrologii a státní zkušebnictví provozovatele nebo oznámený subjekt písemně upozornit na porušení jeho povinnosti, vyzvat ho k nápravě v přiměřené lhůtě. 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Délka lhůty k nápravě podle odstavce 1 nesmí být kratší než 15 dnů ode dne doručení upozornění.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Pokud osoba podle odstavce 1, která byla upozorněna na porušení povinnosti, zjedná ve lhůtě uvedené ve výzvě podle odst. 1 nápravu, bez zbytečného odkladu tuto skutečnost a způsob zjednání nápravy oznámí orgánu, který ji na toto porušení povinnosti upozornil.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Dojde-li k nápravě velhůtě podle odstavce 1, orgán, který osobu podle odstavce 1 na porušení povinnosti upozornil, nezahájí řízení o přestupku a usnesením věc odloží. Usnesení o odložení věci se pouze poznamená do spisu a osoba podle odstavce 1 se o tom vyrozumí.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Hlk220925861"/>
      <w:r>
        <w:rPr>
          <w:rFonts w:cs="Times New Roman" w:ascii="Times New Roman" w:hAnsi="Times New Roman"/>
          <w:color w:val="auto"/>
          <w:sz w:val="24"/>
          <w:szCs w:val="24"/>
        </w:rPr>
        <w:t>§ 28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Přestupky na úseku zakázaných postupů v oblasti umělé inteligence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ten, kdo jako provozovatel podle čl. 3 bodu 8 nařízení o umělé inteligenci poruší některou z povinností podle čl. 5 nařízení o umělé inteligenci.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8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Za přestupek podle odstavce 1 lze uložit pokutu do výše podle čl. 99 odst. 3 nařízení o umělé inteligenci. Splňuje-li pachatel přestupku podmínku podle čl. 99 odst. 6 nařízení o umělé inteligenci, lze mu uložit pokutu pouze do výše v něm stanovené.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29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Přestupky provozovatele systému umělé inteligence</w:t>
      </w:r>
    </w:p>
    <w:p>
      <w:pPr>
        <w:pStyle w:val="ListParagraph"/>
        <w:widowControl w:val="false"/>
        <w:spacing w:lineRule="auto" w:line="240" w:before="0" w:after="0"/>
        <w:ind w:start="36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bookmarkStart w:id="6" w:name="_Hlk225355297"/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Přestupku se dopustí poskytovatel systému umělé inteligence tím, že </w:t>
      </w:r>
      <w:bookmarkEnd w:id="6"/>
    </w:p>
    <w:p>
      <w:pPr>
        <w:pStyle w:val="ListParagraph"/>
        <w:widowControl w:val="false"/>
        <w:tabs>
          <w:tab w:val="clear" w:pos="708"/>
          <w:tab w:val="left" w:pos="567" w:leader="none"/>
        </w:tabs>
        <w:spacing w:lineRule="auto" w:line="240" w:before="0" w:after="0"/>
        <w:ind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22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poruší povinnost zdokumentovat své posouzení nebo provést registraci podle čl. 6 odst. 4 a čl. 49 odst. 2 nařízení o umělé inteligenci,</w:t>
      </w:r>
    </w:p>
    <w:p>
      <w:pPr>
        <w:pStyle w:val="ListParagraph"/>
        <w:widowControl w:val="false"/>
        <w:numPr>
          <w:ilvl w:val="0"/>
          <w:numId w:val="22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poruší některou z povinností podle čl. 50 nařízení o umělé inteligenci,</w:t>
      </w:r>
    </w:p>
    <w:p>
      <w:pPr>
        <w:pStyle w:val="ListParagraph"/>
        <w:widowControl w:val="false"/>
        <w:numPr>
          <w:ilvl w:val="0"/>
          <w:numId w:val="22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neposkytne orgánu dozoru nad trhem informace nebo dokumentaci vyžádané podle čl. 77 odst. 1a nařízení o umělé inteligenci, nebo</w:t>
      </w:r>
    </w:p>
    <w:p>
      <w:pPr>
        <w:pStyle w:val="ListParagraph"/>
        <w:widowControl w:val="false"/>
        <w:numPr>
          <w:ilvl w:val="0"/>
          <w:numId w:val="22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</w:rPr>
        <w:t xml:space="preserve">nesplní povinnost 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vložení a aktualizace údajů</w:t>
      </w:r>
      <w:r>
        <w:rPr>
          <w:rFonts w:cs="Times New Roman" w:ascii="Times New Roman" w:hAnsi="Times New Roman"/>
          <w:bCs/>
          <w:color w:val="auto"/>
          <w:sz w:val="24"/>
          <w:szCs w:val="24"/>
        </w:rPr>
        <w:t xml:space="preserve"> podle § 21 odst. 2</w:t>
      </w:r>
      <w:r>
        <w:rPr>
          <w:rFonts w:cs="Times New Roman" w:ascii="Times New Roman" w:hAnsi="Times New Roman"/>
          <w:color w:val="auto"/>
          <w:sz w:val="24"/>
          <w:szCs w:val="24"/>
        </w:rPr>
        <w:t>.</w:t>
      </w:r>
    </w:p>
    <w:p>
      <w:pPr>
        <w:pStyle w:val="ListParagraph"/>
        <w:widowControl w:val="false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poskytovatel vysoce rizikového systému umělé inteligence tím, že</w:t>
      </w:r>
    </w:p>
    <w:p>
      <w:pPr>
        <w:pStyle w:val="ListParagraph"/>
        <w:widowControl w:val="false"/>
        <w:spacing w:lineRule="auto" w:line="240" w:before="0" w:after="0"/>
        <w:ind w:start="36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37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>poruší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 některou z povinností podle čl. 16 nařízení o umělé inteligenci,</w:t>
      </w:r>
    </w:p>
    <w:p>
      <w:pPr>
        <w:pStyle w:val="ListParagraph"/>
        <w:widowControl w:val="false"/>
        <w:numPr>
          <w:ilvl w:val="0"/>
          <w:numId w:val="37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>dodává vysoce rizikový systém umělé inteligence na trh Evropské unie aniž by jmenoval zplnomocněného zástupce podle čl. 22 nařízení o umělé inteligenci, ačkoli je usazen ve třetí zemi,</w:t>
      </w:r>
    </w:p>
    <w:p>
      <w:pPr>
        <w:pStyle w:val="ListParagraph"/>
        <w:widowControl w:val="false"/>
        <w:numPr>
          <w:ilvl w:val="0"/>
          <w:numId w:val="37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při testování vysoce rizikového systému umělé inteligence v reálných podmínách poruší některou z podmínek podle čl. 60 odst. 4 písm. c) až k), 5, 7 nebo 8 nařízení o umělé inteligenci,</w:t>
      </w:r>
    </w:p>
    <w:p>
      <w:pPr>
        <w:pStyle w:val="ListParagraph"/>
        <w:widowControl w:val="false"/>
        <w:numPr>
          <w:ilvl w:val="0"/>
          <w:numId w:val="37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poruší oznamovací povinnost podle čl. 73 nařízení o umělé inteligenci, nebo</w:t>
      </w:r>
    </w:p>
    <w:p>
      <w:pPr>
        <w:pStyle w:val="ListParagraph"/>
        <w:widowControl w:val="false"/>
        <w:numPr>
          <w:ilvl w:val="0"/>
          <w:numId w:val="37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>nesplní povinnost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 vložení a aktualizace údajů podle § 21 odst. 1.</w:t>
      </w:r>
    </w:p>
    <w:p>
      <w:pPr>
        <w:pStyle w:val="ListParagraph"/>
        <w:widowControl w:val="false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zplnomocněný zástupce poskytovatele vysoce rizikového systému umělé inteligence tím, že poruší některou z povinností podle čl. 22 nařízení o umělé inteligenci.</w:t>
      </w:r>
    </w:p>
    <w:p>
      <w:pPr>
        <w:pStyle w:val="ListParagraph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dovozce vysoce rizikového systému umělé inteligence tím, že poruší některou z povinností podle čl. 23 nařízení o umělé inteligenci.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widowControl w:val="false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distributor vysoce rizikového systému umělé inteligence tím, že poruší některou z povinností podle čl. 24 nařízení o umělé inteligenci.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subjekt zavádějící systém umělé inteligence tím, že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poruší některou z povinností podle čl. 26 nařízení o umělé inteligenci,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využívá v rozporu s čl. 27 nařízení o umělé inteligenci vysoce rizikový systém bez posouzení dopadů jeho použití na základní práva nebo aniž by o výsledcích posouzení stanoveným způsobem informoval příslušný orgán dozoru nad trhem,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poruší některou z povinností podle čl. 50 nařízení o umělé inteligenci,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neposkytne orgánu dozoru nad trhem informace nebo dokumentaci vyžádané podle čl. 77 odst. 1a nařízení o umělé inteligenci, nebo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>v rozporu s čl. 86 nařízení o umělé inteligenci neposkytne dotčené osobě jasné a smysluplné vysvětlení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 xml:space="preserve">Za přestupek lze uložit pokutu do 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10 000 000 Kč, jde-li o přestupek podle odstavce 1 písm. d) nebo odstavce 2 písm. e),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výše podle čl. 99 odst. 4 nařízení o umělé inteligenci, jde-li o přestupek odstavce 1 písm. a) až c), odstavce 2 písm. a) až d) a odstavců 3 až 6; splňuje-li pachatel přestupku podmínku podle čl. 99 odst. 6 nebo 6a nařízení o umělé inteligenci, lze mu uložit pokutu pouze do výše tam stanovené.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 xml:space="preserve">CELEX 32024R1689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32026R1744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30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Přestupky oznámených subjektů a subjektů posuzování shody</w:t>
      </w:r>
    </w:p>
    <w:p>
      <w:pPr>
        <w:pStyle w:val="ListParagraph"/>
        <w:spacing w:lineRule="auto" w:line="240" w:before="0" w:after="0"/>
        <w:ind w:start="36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Právnická osoba se dopustí přestupku tím, že 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jako oznámený subjekt poruší povinnost nebo nesplní požadavek podle čl. 31, čl. 33 odst. 1, 3 a 4 nebo čl. 34 nařízení o umělé inteligenci, nebo</w:t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jako oznámený subjekt poruší povinnost nebo nesplní požadavek podle čl. 36 odst. 3, 5 a 6, čl. 44 odst. 3 nebo čl. 45 nařízení o umělé inteligenci.</w:t>
      </w:r>
    </w:p>
    <w:p>
      <w:pPr>
        <w:pStyle w:val="ListParagraph"/>
        <w:numPr>
          <w:ilvl w:val="0"/>
          <w:numId w:val="27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 xml:space="preserve">Za přestupek </w:t>
      </w:r>
      <w:r>
        <w:rPr>
          <w:rFonts w:ascii="Times New Roman" w:hAnsi="Times New Roman"/>
          <w:bCs/>
          <w:color w:val="auto"/>
          <w:sz w:val="24"/>
          <w:u w:val="single"/>
        </w:rPr>
        <w:t xml:space="preserve">podle odstavce 1 </w:t>
      </w: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 xml:space="preserve">lze uložit pokutu do </w:t>
      </w:r>
      <w:r>
        <w:rPr>
          <w:rFonts w:ascii="Times New Roman" w:hAnsi="Times New Roman"/>
          <w:color w:val="auto"/>
          <w:sz w:val="24"/>
          <w:u w:val="single"/>
        </w:rPr>
        <w:t>výše podle čl. 99 odst. 4 nařízení o umělé inteligenci.</w:t>
      </w: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 xml:space="preserve"> Splňuje-li pachatel přestupku podmínku podle čl. 99 odst. 6 nebo 6a nařízení o umělé inteligenci, lze mu uložit pokutu pouze do výše tam stanovené.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32026R1744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</w:rPr>
        <w:t>§ 31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>Další přestupky na úseku umělé inteligence</w:t>
      </w:r>
    </w:p>
    <w:p>
      <w:pPr>
        <w:pStyle w:val="ListParagraph"/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>Přestupku se dopustí ten, kdo jako původní poskytovatel podle čl. 25 odst. 2 nařízení o umělé inteligenci poruší povinnost poskytnout nezbytnou pomoc stanovenou v tomto ustanovení..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Přestupku se dopustí d</w:t>
      </w: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>ržitel povolení pro uvedení vysoce rizikového systému umělé inteligence na trh nebo do provozu na území České republiky bez posouzení shody nebo poskytovatel vysoce rizikového systému umělé inteligence testovaného v reálných podmínkách na území České republiky tím, že nesplní oznamovací povinnost podle § 9.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</w:rPr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 xml:space="preserve">Přetupku se dopustí ten, kdo 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zapříčiní neuzavření písemné dohody podle čl. 25 odst. 4 nařízení o umělé inteligenci,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poskytne nesprávné, neúplné nebo zavádějící informace oznámenému subjektu, oznamujícímu orgánu nebo orgánu dozoru nad trhem v reakci na jejich žádost učiněnou v rámci činností podle nařízení o umělé inteligenci</w:t>
      </w:r>
      <w:r>
        <w:rPr>
          <w:rFonts w:cs="Times New Roman" w:ascii="Times New Roman" w:hAnsi="Times New Roman"/>
          <w:strike/>
          <w:color w:val="auto"/>
          <w:sz w:val="24"/>
          <w:szCs w:val="24"/>
          <w:u w:val="single"/>
        </w:rPr>
        <w:t>,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provede činnost při posuzování shody vyhrazenou pro účely nařízení o umělé inteligenci oznámenému subjketu bez oprávnění podle čl. 30 tohoto nařízení, nebo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poruší povinnost předat dokumentaci podle §  11 odst. 1 nebo 3, nebo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jako právní nástupce poskytovatele nebo zplnomocněného zástupce  nesplní povinnost uchovávat dokumentaci, která na něj přešla podle § 11 odst. 2.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567" w:leader="none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  <w:t xml:space="preserve">Za přestupek podle odstavců 1 až 3 lze uložit pokutu do 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bCs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výše podle čl. 99 odst. 5 nařízení o umělé inteligenci, jde-li o přestupek podle odstavce 2, odstavce 3 písm. b), d) nebo e); splňuje-li pachatel přestupku podmínku podle čl. 99 odst. 6 nebo odst. 6a nařízení o umělé inteligenci, lze mu uložit pokutu pouze do výše tam stanovené,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výše podle čl. 99 odst. 4 nařízení o umělé inteligenci, jde-li o přestupek podle odstavce 1 a odstavce 3 písm a) a c); splňuje-li pachatel přestupku podmínku podle čl. 99 odst. 6 nebo odst. 6a nařízení o umělé inteligenci, lze mu uložit pokutu pouze do výše tam stanovené.</w:t>
      </w:r>
      <w:bookmarkEnd w:id="5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32026R1744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§ 32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Příslušnost k projednání přestupků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ListParagraph"/>
        <w:numPr>
          <w:ilvl w:val="0"/>
          <w:numId w:val="44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Přestupky podle § 30 a § 31 odst. 3 písm. c) projednává Úřad pro technickou normalizaci, metrologii a státní zkušebnictví.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Přestupky podle § 28 , 29 a § 31 odst. 1 a 2 a odst. 3 písm. a),d) a e) projednává</w:t>
      </w:r>
    </w:p>
    <w:p>
      <w:pPr>
        <w:pStyle w:val="ListParagrap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Úřad pro ochranu osobních údajů, spočívá-li přestupek v porušení povinnosti související se systémem umělé inteligence podle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§ 3 odst. 4,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Česká národní banka, spočívá-li přestupek v porušení povinnosti osoby, která podléhá dohledu České národní banky podle zákona upravujícího činnost České národní banky</w:t>
      </w:r>
      <w:r>
        <w:rPr>
          <w:rFonts w:cs="Times New Roman" w:ascii="Times New Roman" w:hAnsi="Times New Roman"/>
          <w:sz w:val="24"/>
          <w:szCs w:val="24"/>
          <w:u w:val="single"/>
          <w:vertAlign w:val="superscript"/>
        </w:rPr>
        <w:t>2)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, související se systémem umělé inteligence 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podle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§ 3 odst. 3, nebo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Český telekomunikační úřad, nejde-li o přestupek podle písmene a) nebo b).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Přestupky podle § 31 odst. 3 písm. b) projednává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567" w:leader="none"/>
        </w:tabs>
        <w:spacing w:lineRule="auto" w:line="240" w:before="0" w:after="288"/>
        <w:ind w:hanging="0" w:start="0"/>
        <w:contextualSpacing w:val="fals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správní orgán, který osobu oposkytnutí informací požádal nebo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567" w:leader="none"/>
        </w:tabs>
        <w:spacing w:lineRule="auto" w:line="240" w:before="0" w:after="0"/>
        <w:ind w:hanging="0" w:start="0"/>
        <w:contextualSpacing w:val="fals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Úřad pro technickou normalizaci, metrologii a státní zkušebnictví, požádal-li o poskytnutí informacíoznámený subjekt.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§ 33</w:t>
      </w:r>
    </w:p>
    <w:p>
      <w:pPr>
        <w:pStyle w:val="Normal"/>
        <w:spacing w:lineRule="auto" w:line="240" w:before="0" w:after="28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Společná ustanovení k přestupkům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Český telekomunikační ú</w:t>
      </w:r>
      <w:r>
        <w:rPr>
          <w:rFonts w:cs="Times New Roman" w:ascii="Times New Roman" w:hAnsi="Times New Roman"/>
          <w:color w:val="auto"/>
          <w:sz w:val="24"/>
          <w:szCs w:val="24"/>
        </w:rPr>
        <w:t>řad vybírá a vymáhá pokutu, kterou uložil.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Promlčecí doba přestupků podle tohoto zákona činí 5 let. Byla-li promlčecí doba přerušena, odpovědnost za přestupek zaniká nejpozději 8 let od jeho spáchání.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/>
          <w:sz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Česká národní banka, Úřad pro ochranu osobních údajů a Úřad pro technickou normalizaci, metrologii a státní zkušebnictví </w:t>
      </w:r>
      <w:r>
        <w:rPr>
          <w:rFonts w:ascii="Times New Roman" w:hAnsi="Times New Roman"/>
          <w:sz w:val="24"/>
        </w:rPr>
        <w:t>poskytují Českému telekomunikačnímu úřadu informace potřebné pro vypracování zprávy podle čl. 99 odst. 11 nařízení o umělé inteligenci do konce února kalendářního roku následujícího po kalendářním roce, za který Český telekomunikační úřad tuto zprávu vypracovává.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 přepočet horní hranice výše pokuty, jejíž výměra byla určena na základě čl. 99 odst. 3 až 7 nařízení o umělé inteligenci, na českou měnu se použije kurz devizového trhu vyhlášený Českou národní bankou pro den předcházející dni vydání rozhodnutí o přestupku. Výše pokuty přepočtená na českou měnu se zaokrouhlí na celé koruny směrem nahoru.</w:t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Pachateli přestupku podle tohoto zákona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 podle </w:t>
      </w:r>
      <w:r>
        <w:rPr>
          <w:rFonts w:cs="Times New Roman" w:ascii="Times New Roman" w:hAnsi="Times New Roman"/>
          <w:sz w:val="24"/>
          <w:szCs w:val="24"/>
        </w:rPr>
        <w:t>čl. 99 odst. 8 nařízení o umělé inteligenci lze uložit pokutu pouze do výše 10 000 000 Kč.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cs="Times New Roman" w:ascii="Times New Roman" w:hAnsi="Times New Roman"/>
          <w:sz w:val="24"/>
          <w:szCs w:val="24"/>
        </w:rPr>
        <w:t>§ 34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Přechodná ustanovení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numPr>
          <w:ilvl w:val="0"/>
          <w:numId w:val="4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EE0000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 xml:space="preserve">Povinnost provozovatele nebo jiné osoby podle tohoto zákona, která navazuje na povinnost této osoby podle nařízení o umělé inteligenci, se na tuto osobu použije od okamžiku, od kterého se na ni </w:t>
      </w:r>
      <w:r>
        <w:rPr>
          <w:rFonts w:cs="Times New Roman" w:ascii="Times New Roman" w:hAnsi="Times New Roman"/>
          <w:color w:val="auto"/>
          <w:sz w:val="24"/>
          <w:szCs w:val="24"/>
          <w:u w:val="single"/>
        </w:rPr>
        <w:t>podle čl. 111 a 113 nařízení o umělé inteligenci použije příslušná povinnost podle nařízení o umělé inteligenci. Vznikla-li však povinnost této osoby podle nařízení o umělé inteligenci přede dnem nabytí účinnosti tohoto zákona, použije se na ni povinnost podle tohoto zákona ode dne nabytí jeho účinnosti.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ListParagraph"/>
        <w:numPr>
          <w:ilvl w:val="0"/>
          <w:numId w:val="42"/>
        </w:numPr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Je-li regulační sandbox zřízen v okamžiku, kdy jedna nebo více oblastí podle čl. 58 odst. 2 nařízení o umělé inteligenci nebyla upravena prováděcím aktem Evropské komise, Úřad pro technickou normalizaci, metrologii a státní zkušebnictví tyto oblasti upraví v opatření obecné povahy podle § 17 odst. 2 v souladu s čl. 58 odst. 2 tohoto nařízení.</w:t>
      </w:r>
    </w:p>
    <w:p>
      <w:pPr>
        <w:pStyle w:val="ListParagraph"/>
        <w:spacing w:lineRule="auto" w:line="240" w:before="0" w:after="0"/>
        <w:ind w:firstLine="360" w:start="0"/>
        <w:contextualSpacing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>CELEX 32024R1689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ČÁST DRUHÁ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Změna zákona o dozoru nad trhem s výrobky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§ 35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Zákon č. 87/2023 Sb., o dozoru nad trhem s výrobky a o změně některých souvisejících zákonů (zákon o dozoru nad trhem s výrobky), ve znění zákona č. 387/2024 Sb., zákona č. 218/2025 Sb., zákona č. …</w:t>
      </w:r>
      <w:r>
        <w:rPr>
          <w:rFonts w:cs="Times New Roman" w:ascii="Times New Roman" w:hAnsi="Times New Roman"/>
          <w:color w:val="auto"/>
          <w:sz w:val="24"/>
          <w:szCs w:val="24"/>
        </w:rPr>
        <w:t>/2026 Sb.</w:t>
      </w:r>
      <w:r>
        <w:rPr>
          <w:rFonts w:cs="Times New Roman" w:ascii="Times New Roman" w:hAnsi="Times New Roman"/>
          <w:sz w:val="24"/>
          <w:szCs w:val="24"/>
        </w:rPr>
        <w:t xml:space="preserve"> a zákona č. …</w:t>
      </w:r>
      <w:r>
        <w:rPr>
          <w:rFonts w:cs="Times New Roman" w:ascii="Times New Roman" w:hAnsi="Times New Roman"/>
          <w:color w:val="auto"/>
          <w:sz w:val="24"/>
          <w:szCs w:val="24"/>
        </w:rPr>
        <w:t>/2026 Sb.,</w:t>
      </w:r>
      <w:r>
        <w:rPr>
          <w:rFonts w:cs="Times New Roman" w:ascii="Times New Roman" w:hAnsi="Times New Roman"/>
          <w:sz w:val="24"/>
          <w:szCs w:val="24"/>
        </w:rPr>
        <w:t xml:space="preserve"> se mění takto:</w:t>
      </w:r>
    </w:p>
    <w:p>
      <w:pPr>
        <w:pStyle w:val="ListParagraph"/>
        <w:spacing w:lineRule="auto" w:line="240" w:before="0" w:after="0"/>
        <w:ind w:firstLine="360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ind w:firstLine="567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 § 4 se na konci odstavce 1 tečka nahrazuje čárkou a doplňují se písmena n) až p), která znějí: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„</w:t>
      </w:r>
      <w:r>
        <w:rPr>
          <w:rFonts w:cs="Times New Roman" w:ascii="Times New Roman" w:hAnsi="Times New Roman"/>
          <w:sz w:val="24"/>
          <w:szCs w:val="24"/>
        </w:rPr>
        <w:t>n)</w:t>
        <w:tab/>
      </w:r>
      <w:r>
        <w:rPr>
          <w:rFonts w:cs="Times New Roman" w:ascii="Times New Roman" w:hAnsi="Times New Roman"/>
          <w:sz w:val="24"/>
          <w:szCs w:val="24"/>
          <w:u w:val="single"/>
        </w:rPr>
        <w:t>Česká národní banka,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o)</w:t>
        <w:tab/>
      </w:r>
      <w:r>
        <w:rPr>
          <w:rFonts w:cs="Times New Roman" w:ascii="Times New Roman" w:hAnsi="Times New Roman"/>
          <w:sz w:val="24"/>
          <w:szCs w:val="24"/>
          <w:u w:val="single"/>
        </w:rPr>
        <w:t>Český telekomunikační úřad,</w:t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ListParagraph"/>
        <w:tabs>
          <w:tab w:val="clear" w:pos="708"/>
          <w:tab w:val="left" w:pos="567" w:leader="none"/>
        </w:tabs>
        <w:spacing w:lineRule="auto" w:line="240" w:before="0" w:after="0"/>
        <w:ind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p)</w:t>
        <w:tab/>
      </w:r>
      <w:r>
        <w:rPr>
          <w:rFonts w:cs="Times New Roman" w:ascii="Times New Roman" w:hAnsi="Times New Roman"/>
          <w:sz w:val="24"/>
          <w:szCs w:val="24"/>
          <w:u w:val="single"/>
        </w:rPr>
        <w:t>Úřad pro ochranu osobních údajů.</w:t>
      </w:r>
      <w:r>
        <w:rPr>
          <w:rFonts w:cs="Times New Roman" w:ascii="Times New Roman" w:hAnsi="Times New Roman"/>
          <w:sz w:val="24"/>
          <w:szCs w:val="24"/>
        </w:rPr>
        <w:t>“.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 xml:space="preserve">CELEX </w:t>
      </w: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  <w:t>2024R1689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ind w:firstLine="567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 § 11 se za odstavec 6 vkládá nový odstavec 7, který zní: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1134" w:leader="none"/>
        </w:tabs>
        <w:ind w:firstLine="567" w:star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„</w:t>
      </w:r>
      <w:r>
        <w:rPr>
          <w:rFonts w:cs="Times New Roman" w:ascii="Times New Roman" w:hAnsi="Times New Roman"/>
          <w:sz w:val="24"/>
          <w:szCs w:val="24"/>
        </w:rPr>
        <w:t>(7)</w:t>
        <w:tab/>
        <w:t xml:space="preserve">Přestupky podle tohoto zákona projednává a pokuty ukládá orgán dozoru uvedený v § 4 odst. 1, jehož příslušnost k výkonu dozoru nad trhem s výrobky je upravena v právním předpisu </w:t>
      </w:r>
      <w:r>
        <w:rPr>
          <w:rFonts w:cs="Times New Roman" w:ascii="Times New Roman" w:hAnsi="Times New Roman"/>
          <w:color w:val="auto"/>
          <w:sz w:val="24"/>
          <w:szCs w:val="24"/>
        </w:rPr>
        <w:t>podle přílohy</w:t>
      </w:r>
      <w:r>
        <w:rPr>
          <w:rFonts w:cs="Times New Roman" w:ascii="Times New Roman" w:hAnsi="Times New Roman"/>
          <w:sz w:val="24"/>
          <w:szCs w:val="24"/>
        </w:rPr>
        <w:t xml:space="preserve"> k tomuto zákonu</w:t>
      </w:r>
      <w:r>
        <w:rPr>
          <w:rFonts w:cs="Times New Roman" w:ascii="Times New Roman" w:hAnsi="Times New Roman"/>
          <w:color w:val="auto"/>
          <w:sz w:val="24"/>
          <w:szCs w:val="24"/>
        </w:rPr>
        <w:t>.“.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Dosavadní odstavce 7 až 8 se označují jako odstavce 8 až 9.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ind w:firstLine="567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 § 11 se doplňuje odstavec 10, který zní: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„</w:t>
      </w:r>
      <w:r>
        <w:rPr>
          <w:rFonts w:cs="Times New Roman" w:ascii="Times New Roman" w:hAnsi="Times New Roman"/>
          <w:sz w:val="24"/>
          <w:szCs w:val="24"/>
        </w:rPr>
        <w:t>(10)</w:t>
        <w:tab/>
        <w:t>Český telekomunikační úřad vybírá a vymáhá pokutu, kterou uložil.“.</w:t>
      </w:r>
    </w:p>
    <w:p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134" w:leader="none"/>
        </w:tabs>
        <w:ind w:firstLine="567" w:star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Na konci přílohy se doplňují nové položky, které znějí: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„</w:t>
      </w:r>
    </w:p>
    <w:tbl>
      <w:tblPr>
        <w:tblW w:w="906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404"/>
        <w:gridCol w:w="3360"/>
        <w:gridCol w:w="3297"/>
      </w:tblGrid>
      <w:tr>
        <w:trPr/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Česká národní banka </w:t>
            </w:r>
          </w:p>
        </w:tc>
        <w:tc>
          <w:tcPr>
            <w:tcW w:w="3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oc-ti"/>
              <w:shd w:val="clear" w:color="auto" w:fill="FFFFFF"/>
              <w:spacing w:beforeAutospacing="0" w:before="0" w:afterAutospacing="0"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</w:t>
            </w:r>
          </w:p>
        </w:tc>
        <w:tc>
          <w:tcPr>
            <w:tcW w:w="3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Zákon č. …/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2026</w:t>
            </w: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Sb.,o implementaci předpisů Evropské unie v oblasti umělé inteligence a o změně některých souvisejících zákonů</w:t>
            </w:r>
          </w:p>
        </w:tc>
      </w:tr>
      <w:tr>
        <w:trPr/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Český telekomunikační úřad</w:t>
            </w:r>
          </w:p>
        </w:tc>
        <w:tc>
          <w:tcPr>
            <w:tcW w:w="3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oc-ti"/>
              <w:shd w:val="clear" w:color="auto" w:fill="FFFFFF"/>
              <w:spacing w:beforeAutospacing="0" w:before="0" w:afterAutospacing="0"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</w:t>
            </w:r>
          </w:p>
        </w:tc>
        <w:tc>
          <w:tcPr>
            <w:tcW w:w="3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Zákon č. …/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Sb., o implementaci předpisů Evropské unie v oblasti umělé inteligence a o změně některých souvisejících zákonů</w:t>
            </w:r>
          </w:p>
        </w:tc>
      </w:tr>
      <w:tr>
        <w:trPr/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Úřad pro ochranu osobních údajů</w:t>
            </w:r>
          </w:p>
        </w:tc>
        <w:tc>
          <w:tcPr>
            <w:tcW w:w="3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doc-ti"/>
              <w:shd w:val="clear" w:color="auto" w:fill="FFFFFF"/>
              <w:spacing w:beforeAutospacing="0" w:before="0" w:afterAutospacing="0"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</w:t>
            </w:r>
          </w:p>
        </w:tc>
        <w:tc>
          <w:tcPr>
            <w:tcW w:w="3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Zákon č. …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/2026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Sb., o implementaci předpisů Evropské unie v oblasti umělé inteligence a o změně některých souvisejících zákonů</w:t>
            </w:r>
          </w:p>
        </w:tc>
      </w:tr>
    </w:tbl>
    <w:p>
      <w:pPr>
        <w:pStyle w:val="ListParagraph"/>
        <w:spacing w:before="0" w:after="160"/>
        <w:ind w:firstLine="696" w:start="7800"/>
        <w:contextualSpacing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“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ČÁST TŘETÍ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Změna zákona o kritické infrastruktuře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§ 36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0"/>
        <w:ind w:firstLine="567" w:start="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V § 20 zákona č. 266/2025 Sb., o odolnosti subjektů kritické infrastruktury a o změně souvisejících zákonů (zákon o kritické infrastruktuře), se </w:t>
      </w:r>
      <w:r>
        <w:rPr>
          <w:rFonts w:cs="Times New Roman" w:ascii="Times New Roman" w:hAnsi="Times New Roman"/>
          <w:color w:val="auto"/>
          <w:sz w:val="24"/>
          <w:szCs w:val="24"/>
        </w:rPr>
        <w:t>na konci textu odstavce 1 doplňují slova</w:t>
      </w:r>
      <w:r>
        <w:rPr>
          <w:rFonts w:cs="Times New Roman" w:ascii="Times New Roman" w:hAnsi="Times New Roman"/>
          <w:sz w:val="24"/>
          <w:szCs w:val="24"/>
        </w:rPr>
        <w:t xml:space="preserve"> „a podle zákona o implementaci předpisů Evropské unie v oblasti umělé inteligence a o změně některých souvisejících zákonů“</w:t>
      </w:r>
      <w:r>
        <w:rPr>
          <w:rFonts w:cs="Times New Roman" w:ascii="Times New Roman" w:hAnsi="Times New Roman"/>
          <w:color w:val="auto"/>
          <w:sz w:val="24"/>
          <w:szCs w:val="24"/>
        </w:rPr>
        <w:t>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ČÁST ČTVRTÁ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ÚČINNOST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§ 37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spacing w:lineRule="auto" w:line="240" w:before="0" w:after="0"/>
        <w:ind w:firstLine="567" w:start="0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Tento zákon nabývá účinnosti patnáctým dnem po jeho vyhlášení.</w:t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w="11906" w:h="16838"/>
      <w:pgMar w:left="1134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343134999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rFonts w:cs="Times New Roman" w:ascii="Times New Roman" w:hAnsi="Times New Roman"/>
            <w:sz w:val="24"/>
            <w:szCs w:val="24"/>
          </w:rPr>
          <w:instrText xml:space="preserve"> PAGE </w:instrText>
        </w:r>
        <w:r>
          <w:rPr>
            <w:rFonts w:cs="Times New Roman" w:ascii="Times New Roman" w:hAnsi="Times New Roman"/>
            <w:sz w:val="24"/>
            <w:szCs w:val="24"/>
          </w:rPr>
          <w:fldChar w:fldCharType="separate"/>
        </w:r>
        <w:r>
          <w:rPr>
            <w:rFonts w:cs="Times New Roman" w:ascii="Times New Roman" w:hAnsi="Times New Roman"/>
            <w:sz w:val="24"/>
            <w:szCs w:val="24"/>
          </w:rPr>
          <w:t>16</w:t>
        </w:r>
        <w:r>
          <w:rPr>
            <w:rFonts w:cs="Times New Roman"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343134999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rFonts w:cs="Times New Roman" w:ascii="Times New Roman" w:hAnsi="Times New Roman"/>
            <w:sz w:val="24"/>
            <w:szCs w:val="24"/>
          </w:rPr>
          <w:instrText xml:space="preserve"> PAGE </w:instrText>
        </w:r>
        <w:r>
          <w:rPr>
            <w:rFonts w:cs="Times New Roman" w:ascii="Times New Roman" w:hAnsi="Times New Roman"/>
            <w:sz w:val="24"/>
            <w:szCs w:val="24"/>
          </w:rPr>
          <w:fldChar w:fldCharType="separate"/>
        </w:r>
        <w:r>
          <w:rPr>
            <w:rFonts w:cs="Times New Roman" w:ascii="Times New Roman" w:hAnsi="Times New Roman"/>
            <w:sz w:val="24"/>
            <w:szCs w:val="24"/>
          </w:rPr>
          <w:t>16</w:t>
        </w:r>
        <w:r>
          <w:rPr>
            <w:rFonts w:cs="Times New Roman"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Znakypropoznmkupodarou"/>
        </w:rPr>
        <w:foot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Nařízení Evropského parlamentu a Rady (EU) 2024/1689 ze dne 13. června 2024, kterým se stanoví harmonizovaná pravidla pro umělou inteligenci a mění nařízení (ES) č. 300/2008, (EU) č. 167/2013, (EU) č. 168/2013, (EU) 2018/858, (EU) 2018/1139 a (EU) 2019/2144 a směrnice 2014/90/EU, (EU) 2016/797 a (EU) 2020/1828 (akt o umělé inteligenci).</w:t>
      </w:r>
    </w:p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Nařízení Evropského parlamentu a Rady (EU) 2026/1744 ze dne 8. července 2026, kterým se mění nařízení (EU) 2024/1689, (EU) 2018/1139 a (EU) 2023/1230, pokud jde o zjednodušení provádění harmonizovaných pravidel pro umělou inteligenci (souhrnný balíček pro digitální oblast týkající se umělé inteligence).</w:t>
      </w:r>
    </w:p>
  </w:footnote>
  <w:footnote w:id="3">
    <w:p>
      <w:pPr>
        <w:pStyle w:val="FootnoteText"/>
        <w:jc w:val="both"/>
        <w:rPr>
          <w:rFonts w:ascii="Times New Roman" w:hAnsi="Times New Roman" w:cs="Times New Roman"/>
        </w:rPr>
      </w:pPr>
      <w:r>
        <w:rPr>
          <w:rStyle w:val="Znakypropoznmkupodarou"/>
        </w:rPr>
        <w:foot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Nařízení Evropského parlamentu a Rady (EU) 2019/1020 ze dne 20. června 2019 o dozoru nad trhem a souladu výrobků s předpisy a o změně směrnice 2004/42/ES a nařízení (ES) č. 765/2008 a (EU) č. 305/2011, v platném znění.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720" w:hanging="360"/>
      </w:pPr>
      <w:rPr/>
    </w:lvl>
    <w:lvl w:ilvl="2">
      <w:start w:val="1"/>
      <w:numFmt w:val="lowerRoman"/>
      <w:lvlText w:val="%3)"/>
      <w:lvlJc w:val="start"/>
      <w:pPr>
        <w:tabs>
          <w:tab w:val="num" w:pos="0"/>
        </w:tabs>
        <w:ind w:start="1080" w:hanging="360"/>
      </w:pPr>
      <w:rPr/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0"/>
        </w:tabs>
        <w:ind w:start="357" w:hanging="357"/>
      </w:pPr>
      <w:rPr>
        <w:rFonts w:ascii="Wingdings" w:hAnsi="Wingdings" w:cs="Wingdings" w:hint="default"/>
        <w:sz w:val="16"/>
      </w:rPr>
    </w:lvl>
    <w:lvl w:ilvl="1">
      <w:start w:val="1"/>
      <w:numFmt w:val="bullet"/>
      <w:lvlText w:val=""/>
      <w:lvlJc w:val="start"/>
      <w:pPr>
        <w:tabs>
          <w:tab w:val="num" w:pos="0"/>
        </w:tabs>
        <w:ind w:start="714" w:hanging="357"/>
      </w:pPr>
      <w:rPr>
        <w:rFonts w:ascii="Wingdings" w:hAnsi="Wingdings" w:cs="Wingdings" w:hint="default"/>
        <w:sz w:val="14"/>
      </w:rPr>
    </w:lvl>
    <w:lvl w:ilvl="2">
      <w:start w:val="1"/>
      <w:numFmt w:val="bullet"/>
      <w:lvlText w:val=""/>
      <w:lvlJc w:val="start"/>
      <w:pPr>
        <w:tabs>
          <w:tab w:val="num" w:pos="0"/>
        </w:tabs>
        <w:ind w:start="1071" w:hanging="357"/>
      </w:pPr>
      <w:rPr>
        <w:rFonts w:ascii="Wingdings" w:hAnsi="Wingdings" w:cs="Wingdings" w:hint="default"/>
        <w:sz w:val="10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1428" w:hanging="357"/>
      </w:pPr>
      <w:rPr>
        <w:rFonts w:ascii="Wingdings" w:hAnsi="Wingdings" w:cs="Wingdings" w:hint="default"/>
        <w:sz w:val="10"/>
      </w:rPr>
    </w:lvl>
    <w:lvl w:ilvl="4">
      <w:start w:val="1"/>
      <w:numFmt w:val="bullet"/>
      <w:lvlText w:val=""/>
      <w:lvlJc w:val="start"/>
      <w:pPr>
        <w:tabs>
          <w:tab w:val="num" w:pos="0"/>
        </w:tabs>
        <w:ind w:start="1785" w:hanging="357"/>
      </w:pPr>
      <w:rPr>
        <w:rFonts w:ascii="Wingdings" w:hAnsi="Wingdings" w:cs="Wingdings" w:hint="default"/>
        <w:sz w:val="10"/>
      </w:rPr>
    </w:lvl>
    <w:lvl w:ilvl="5">
      <w:start w:val="1"/>
      <w:numFmt w:val="bullet"/>
      <w:lvlText w:val=""/>
      <w:lvlJc w:val="start"/>
      <w:pPr>
        <w:tabs>
          <w:tab w:val="num" w:pos="0"/>
        </w:tabs>
        <w:ind w:start="2142" w:hanging="357"/>
      </w:pPr>
      <w:rPr>
        <w:rFonts w:ascii="Wingdings" w:hAnsi="Wingdings" w:cs="Wingdings" w:hint="default"/>
        <w:sz w:val="10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2499" w:hanging="357"/>
      </w:pPr>
      <w:rPr>
        <w:rFonts w:ascii="Wingdings" w:hAnsi="Wingdings" w:cs="Wingdings" w:hint="default"/>
        <w:sz w:val="10"/>
      </w:rPr>
    </w:lvl>
    <w:lvl w:ilvl="7">
      <w:start w:val="1"/>
      <w:numFmt w:val="bullet"/>
      <w:lvlText w:val=""/>
      <w:lvlJc w:val="start"/>
      <w:pPr>
        <w:tabs>
          <w:tab w:val="num" w:pos="0"/>
        </w:tabs>
        <w:ind w:start="2856" w:hanging="357"/>
      </w:pPr>
      <w:rPr>
        <w:rFonts w:ascii="Wingdings" w:hAnsi="Wingdings" w:cs="Wingdings" w:hint="default"/>
        <w:sz w:val="10"/>
      </w:rPr>
    </w:lvl>
    <w:lvl w:ilvl="8">
      <w:start w:val="1"/>
      <w:numFmt w:val="bullet"/>
      <w:lvlText w:val=""/>
      <w:lvlJc w:val="start"/>
      <w:pPr>
        <w:tabs>
          <w:tab w:val="num" w:pos="0"/>
        </w:tabs>
        <w:ind w:start="3213" w:hanging="357"/>
      </w:pPr>
      <w:rPr>
        <w:rFonts w:ascii="Wingdings" w:hAnsi="Wingdings" w:cs="Wingdings" w:hint="default"/>
        <w:color w:themeColor="text1" w:val="000000"/>
        <w:sz w:val="10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357" w:hanging="357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851" w:hanging="494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474" w:hanging="623"/>
      </w:pPr>
      <w:rPr/>
    </w:lvl>
    <w:lvl w:ilvl="3">
      <w:start w:val="1"/>
      <w:numFmt w:val="decimal"/>
      <w:lvlText w:val="%1.%2.%3.%4."/>
      <w:lvlJc w:val="start"/>
      <w:pPr>
        <w:tabs>
          <w:tab w:val="num" w:pos="1474"/>
        </w:tabs>
        <w:ind w:start="2268" w:hanging="794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232" w:hanging="964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4366" w:hanging="1134"/>
      </w:pPr>
      <w:rPr/>
    </w:lvl>
    <w:lvl w:ilvl="6">
      <w:start w:val="1"/>
      <w:numFmt w:val="decimal"/>
      <w:lvlText w:val="%1.%2.%3.%4.%5.%6.%7."/>
      <w:lvlJc w:val="start"/>
      <w:pPr>
        <w:tabs>
          <w:tab w:val="num" w:pos="3232"/>
        </w:tabs>
        <w:ind w:start="4536" w:hanging="1304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3232"/>
        </w:tabs>
        <w:ind w:start="4706" w:hanging="147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876" w:hanging="1644"/>
      </w:pPr>
      <w:rPr/>
    </w:lvl>
  </w:abstractNum>
  <w:abstractNum w:abstractNumId="4">
    <w:lvl w:ilvl="0">
      <w:start w:val="1"/>
      <w:numFmt w:val="bullet"/>
      <w:lvlText w:val="—"/>
      <w:lvlJc w:val="start"/>
      <w:pPr>
        <w:tabs>
          <w:tab w:val="num" w:pos="0"/>
        </w:tabs>
        <w:ind w:start="357" w:hanging="357"/>
      </w:pPr>
      <w:rPr>
        <w:rFonts w:ascii="Calibri" w:hAnsi="Calibri" w:cs="Calibri" w:hint="default"/>
        <w:sz w:val="16"/>
      </w:rPr>
    </w:lvl>
    <w:lvl w:ilvl="1">
      <w:start w:val="1"/>
      <w:numFmt w:val="bullet"/>
      <w:lvlText w:val=""/>
      <w:lvlJc w:val="start"/>
      <w:pPr>
        <w:tabs>
          <w:tab w:val="num" w:pos="0"/>
        </w:tabs>
        <w:ind w:start="714" w:hanging="357"/>
      </w:pPr>
      <w:rPr>
        <w:rFonts w:ascii="Wingdings" w:hAnsi="Wingdings" w:cs="Wingdings" w:hint="default"/>
        <w:sz w:val="14"/>
      </w:rPr>
    </w:lvl>
    <w:lvl w:ilvl="2">
      <w:start w:val="1"/>
      <w:numFmt w:val="bullet"/>
      <w:lvlText w:val=""/>
      <w:lvlJc w:val="start"/>
      <w:pPr>
        <w:tabs>
          <w:tab w:val="num" w:pos="0"/>
        </w:tabs>
        <w:ind w:start="1071" w:hanging="357"/>
      </w:pPr>
      <w:rPr>
        <w:rFonts w:ascii="Wingdings 2" w:hAnsi="Wingdings 2" w:cs="Wingdings 2" w:hint="default"/>
      </w:rPr>
    </w:lvl>
    <w:lvl w:ilvl="3">
      <w:start w:val="1"/>
      <w:numFmt w:val="bullet"/>
      <w:lvlText w:val=""/>
      <w:lvlJc w:val="start"/>
      <w:pPr>
        <w:tabs>
          <w:tab w:val="num" w:pos="0"/>
        </w:tabs>
        <w:ind w:start="1428" w:hanging="357"/>
      </w:pPr>
      <w:rPr>
        <w:rFonts w:ascii="Wingdings 2" w:hAnsi="Wingdings 2" w:cs="Wingdings 2" w:hint="default"/>
      </w:rPr>
    </w:lvl>
    <w:lvl w:ilvl="4">
      <w:start w:val="1"/>
      <w:numFmt w:val="bullet"/>
      <w:lvlText w:val=""/>
      <w:lvlJc w:val="start"/>
      <w:pPr>
        <w:tabs>
          <w:tab w:val="num" w:pos="0"/>
        </w:tabs>
        <w:ind w:start="1785" w:hanging="357"/>
      </w:pPr>
      <w:rPr>
        <w:rFonts w:ascii="Wingdings 2" w:hAnsi="Wingdings 2" w:cs="Wingdings 2" w:hint="default"/>
      </w:rPr>
    </w:lvl>
    <w:lvl w:ilvl="5">
      <w:start w:val="1"/>
      <w:numFmt w:val="bullet"/>
      <w:lvlText w:val=""/>
      <w:lvlJc w:val="start"/>
      <w:pPr>
        <w:tabs>
          <w:tab w:val="num" w:pos="0"/>
        </w:tabs>
        <w:ind w:start="2142" w:hanging="357"/>
      </w:pPr>
      <w:rPr>
        <w:rFonts w:ascii="Wingdings 2" w:hAnsi="Wingdings 2" w:cs="Wingdings 2" w:hint="default"/>
      </w:rPr>
    </w:lvl>
    <w:lvl w:ilvl="6">
      <w:start w:val="1"/>
      <w:numFmt w:val="bullet"/>
      <w:lvlText w:val=""/>
      <w:lvlJc w:val="start"/>
      <w:pPr>
        <w:tabs>
          <w:tab w:val="num" w:pos="0"/>
        </w:tabs>
        <w:ind w:start="2499" w:hanging="357"/>
      </w:pPr>
      <w:rPr>
        <w:rFonts w:ascii="Wingdings 2" w:hAnsi="Wingdings 2" w:cs="Wingdings 2" w:hint="default"/>
      </w:rPr>
    </w:lvl>
    <w:lvl w:ilvl="7">
      <w:start w:val="1"/>
      <w:numFmt w:val="bullet"/>
      <w:lvlText w:val=""/>
      <w:lvlJc w:val="start"/>
      <w:pPr>
        <w:tabs>
          <w:tab w:val="num" w:pos="0"/>
        </w:tabs>
        <w:ind w:start="2856" w:hanging="357"/>
      </w:pPr>
      <w:rPr>
        <w:rFonts w:ascii="Wingdings 2" w:hAnsi="Wingdings 2" w:cs="Wingdings 2" w:hint="default"/>
      </w:rPr>
    </w:lvl>
    <w:lvl w:ilvl="8">
      <w:start w:val="1"/>
      <w:numFmt w:val="bullet"/>
      <w:lvlText w:val=""/>
      <w:lvlJc w:val="start"/>
      <w:pPr>
        <w:tabs>
          <w:tab w:val="num" w:pos="0"/>
        </w:tabs>
        <w:ind w:start="3213" w:hanging="357"/>
      </w:pPr>
      <w:rPr>
        <w:rFonts w:ascii="Wingdings 2" w:hAnsi="Wingdings 2" w:cs="Wingdings 2" w:hint="default"/>
      </w:rPr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0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1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3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4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decimal"/>
      <w:lvlText w:val="(%1)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6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7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8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19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0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21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2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4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5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/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7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8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9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0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2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33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34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35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3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7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8">
    <w:lvl w:ilvl="0">
      <w:start w:val="1"/>
      <w:numFmt w:val="decimal"/>
      <w:lvlText w:val="(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9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0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>
        <w:strike w:val="false"/>
        <w:dstrike w:val="false"/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41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strike w:val="false"/>
        <w:dstrike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2">
    <w:lvl w:ilvl="0">
      <w:start w:val="1"/>
      <w:numFmt w:val="decimal"/>
      <w:lvlText w:val="(%1)"/>
      <w:lvlJc w:val="start"/>
      <w:pPr>
        <w:tabs>
          <w:tab w:val="num" w:pos="0"/>
        </w:tabs>
        <w:ind w:start="644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364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084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0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52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24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96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68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04" w:hanging="180"/>
      </w:pPr>
      <w:rPr/>
    </w:lvl>
  </w:abstractNum>
  <w:abstractNum w:abstractNumId="4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stylePaneFormatFilter w:val="D724" w:allStyles="0" w:customStyles="0" w:latentStyles="1" w:stylesInUse="0" w:headingStyles="1" w:numberingStyles="0" w:tableStyles="0" w:visibleStyles="1"/>
  <w:defaultTabStop w:val="708"/>
  <w:autoHyphenation w:val="true"/>
  <w:hyphenationZone w:val="0"/>
  <w:footnotePr>
    <w:numFmt w:val="decimal"/>
    <w:footnote w:id="0"/>
    <w:footnote w:id="1"/>
  </w:foot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7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uiPriority="38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24f57"/>
    <w:pPr>
      <w:widowControl/>
      <w:bidi w:val="0"/>
      <w:spacing w:lineRule="auto" w:line="293" w:before="0" w:after="160"/>
      <w:jc w:val="start"/>
    </w:pPr>
    <w:rPr>
      <w:rFonts w:ascii="Calibri" w:hAnsi="Calibri" w:eastAsia="Calibri" w:cs=""/>
      <w:color w:themeColor="text1" w:val="000000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7"/>
    <w:qFormat/>
    <w:rsid w:val="00831374"/>
    <w:pPr>
      <w:keepNext w:val="true"/>
      <w:keepLines/>
      <w:spacing w:before="160" w:after="0"/>
      <w:outlineLvl w:val="0"/>
    </w:pPr>
    <w:rPr>
      <w:rFonts w:ascii="Calibri" w:hAnsi="Calibri" w:eastAsia="" w:cs="" w:asciiTheme="majorHAnsi" w:cstheme="majorBidi" w:eastAsiaTheme="majorEastAsia" w:hAnsiTheme="majorHAnsi"/>
      <w:b/>
      <w:sz w:val="28"/>
      <w:szCs w:val="32"/>
    </w:rPr>
  </w:style>
  <w:style w:type="paragraph" w:styleId="Heading2">
    <w:name w:val="heading 2"/>
    <w:basedOn w:val="Normal"/>
    <w:next w:val="Normal"/>
    <w:link w:val="Nadpis2Char"/>
    <w:uiPriority w:val="7"/>
    <w:unhideWhenUsed/>
    <w:qFormat/>
    <w:rsid w:val="00063405"/>
    <w:pPr>
      <w:keepNext w:val="true"/>
      <w:keepLines/>
      <w:spacing w:before="80" w:after="0"/>
      <w:outlineLvl w:val="1"/>
    </w:pPr>
    <w:rPr>
      <w:rFonts w:ascii="Calibri" w:hAnsi="Calibri" w:eastAsia="" w:cs="" w:asciiTheme="majorHAnsi" w:cstheme="majorBidi" w:eastAsiaTheme="majorEastAsia" w:hAnsiTheme="majorHAnsi"/>
      <w:b/>
      <w:sz w:val="26"/>
      <w:szCs w:val="26"/>
    </w:rPr>
  </w:style>
  <w:style w:type="paragraph" w:styleId="Heading3">
    <w:name w:val="heading 3"/>
    <w:basedOn w:val="Normal"/>
    <w:next w:val="Normal"/>
    <w:link w:val="Nadpis3Char"/>
    <w:uiPriority w:val="7"/>
    <w:unhideWhenUsed/>
    <w:qFormat/>
    <w:rsid w:val="00504668"/>
    <w:pPr>
      <w:keepNext w:val="true"/>
      <w:keepLines/>
      <w:spacing w:before="40" w:after="0"/>
      <w:outlineLvl w:val="2"/>
    </w:pPr>
    <w:rPr>
      <w:rFonts w:ascii="Calibri" w:hAnsi="Calibri" w:eastAsia="" w:cs="" w:asciiTheme="majorHAnsi" w:cstheme="majorBidi" w:eastAsiaTheme="majorEastAsia" w:hAnsiTheme="majorHAnsi"/>
      <w:b/>
      <w:sz w:val="24"/>
      <w:szCs w:val="24"/>
    </w:rPr>
  </w:style>
  <w:style w:type="paragraph" w:styleId="Heading4">
    <w:name w:val="heading 4"/>
    <w:basedOn w:val="Normal"/>
    <w:next w:val="Normal"/>
    <w:link w:val="Nadpis4Char"/>
    <w:uiPriority w:val="7"/>
    <w:unhideWhenUsed/>
    <w:qFormat/>
    <w:rsid w:val="00c6690e"/>
    <w:pPr>
      <w:keepNext w:val="true"/>
      <w:keepLines/>
      <w:spacing w:before="40" w:after="0"/>
      <w:outlineLvl w:val="3"/>
    </w:pPr>
    <w:rPr>
      <w:rFonts w:ascii="Calibri" w:hAnsi="Calibri" w:eastAsia="" w:cs="" w:asciiTheme="majorHAnsi" w:cstheme="majorBidi" w:eastAsiaTheme="majorEastAsia" w:hAnsiTheme="majorHAnsi"/>
      <w:i/>
      <w:iCs/>
      <w:sz w:val="24"/>
    </w:rPr>
  </w:style>
  <w:style w:type="paragraph" w:styleId="Heading5">
    <w:name w:val="heading 5"/>
    <w:basedOn w:val="Normal"/>
    <w:next w:val="Normal"/>
    <w:link w:val="Nadpis5Char"/>
    <w:uiPriority w:val="7"/>
    <w:unhideWhenUsed/>
    <w:qFormat/>
    <w:rsid w:val="00c6690e"/>
    <w:pPr>
      <w:keepNext w:val="true"/>
      <w:keepLines/>
      <w:spacing w:before="40" w:after="0"/>
      <w:outlineLvl w:val="4"/>
    </w:pPr>
    <w:rPr>
      <w:rFonts w:ascii="Calibri" w:hAnsi="Calibri" w:eastAsia="" w:cs="" w:asciiTheme="majorHAnsi" w:cstheme="majorBidi" w:eastAsiaTheme="majorEastAsia" w:hAnsiTheme="majorHAnsi"/>
      <w:b/>
    </w:rPr>
  </w:style>
  <w:style w:type="paragraph" w:styleId="Heading6">
    <w:name w:val="heading 6"/>
    <w:basedOn w:val="Normal"/>
    <w:next w:val="Normal"/>
    <w:link w:val="Nadpis6Char"/>
    <w:uiPriority w:val="7"/>
    <w:unhideWhenUsed/>
    <w:qFormat/>
    <w:rsid w:val="00c6690e"/>
    <w:pPr>
      <w:keepNext w:val="true"/>
      <w:keepLines/>
      <w:spacing w:before="40" w:after="0"/>
      <w:outlineLvl w:val="5"/>
    </w:pPr>
    <w:rPr>
      <w:rFonts w:ascii="Calibri" w:hAnsi="Calibri" w:eastAsia="" w:cs="" w:asciiTheme="majorHAnsi" w:cstheme="majorBidi" w:eastAsiaTheme="majorEastAsia" w:hAnsiTheme="majorHAnsi"/>
      <w:i/>
    </w:rPr>
  </w:style>
  <w:style w:type="paragraph" w:styleId="Heading7">
    <w:name w:val="heading 7"/>
    <w:basedOn w:val="Normal"/>
    <w:next w:val="Normal"/>
    <w:link w:val="Nadpis7Char"/>
    <w:uiPriority w:val="7"/>
    <w:unhideWhenUsed/>
    <w:qFormat/>
    <w:rsid w:val="00c6690e"/>
    <w:pPr>
      <w:keepNext w:val="true"/>
      <w:keepLines/>
      <w:spacing w:before="40" w:after="0"/>
      <w:outlineLvl w:val="6"/>
    </w:pPr>
    <w:rPr>
      <w:rFonts w:ascii="Calibri" w:hAnsi="Calibri" w:eastAsia="" w:cs="" w:asciiTheme="majorHAnsi" w:cstheme="majorBidi" w:eastAsiaTheme="majorEastAsia" w:hAnsiTheme="majorHAnsi"/>
      <w:iCs/>
    </w:rPr>
  </w:style>
  <w:style w:type="paragraph" w:styleId="Heading8">
    <w:name w:val="heading 8"/>
    <w:basedOn w:val="Normal"/>
    <w:next w:val="Normal"/>
    <w:link w:val="Nadpis8Char"/>
    <w:uiPriority w:val="7"/>
    <w:unhideWhenUsed/>
    <w:qFormat/>
    <w:rsid w:val="00a95c48"/>
    <w:pPr>
      <w:keepNext w:val="true"/>
      <w:keepLines/>
      <w:spacing w:before="40" w:after="0"/>
      <w:outlineLvl w:val="7"/>
    </w:pPr>
    <w:rPr>
      <w:rFonts w:ascii="Calibri" w:hAnsi="Calibri" w:eastAsia="" w:cs="" w:asciiTheme="majorHAnsi" w:cstheme="majorBidi" w:eastAsiaTheme="majorEastAsia" w:hAnsiTheme="majorHAnsi"/>
      <w:b/>
      <w:color w:themeColor="text1" w:themeTint="d8" w:val="272727"/>
      <w:szCs w:val="21"/>
    </w:rPr>
  </w:style>
  <w:style w:type="paragraph" w:styleId="Heading9">
    <w:name w:val="heading 9"/>
    <w:basedOn w:val="Normal"/>
    <w:next w:val="Normal"/>
    <w:link w:val="Nadpis9Char"/>
    <w:uiPriority w:val="7"/>
    <w:unhideWhenUsed/>
    <w:qFormat/>
    <w:rsid w:val="00a95c48"/>
    <w:pPr>
      <w:keepNext w:val="true"/>
      <w:keepLines/>
      <w:spacing w:before="4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dpis1Char" w:customStyle="1">
    <w:name w:val="Nadpis 1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b/>
      <w:color w:themeColor="text1" w:val="000000"/>
      <w:sz w:val="28"/>
      <w:szCs w:val="32"/>
    </w:rPr>
  </w:style>
  <w:style w:type="character" w:styleId="Nadpis2Char" w:customStyle="1">
    <w:name w:val="Nadpis 2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b/>
      <w:color w:themeColor="text1" w:val="000000"/>
      <w:sz w:val="26"/>
      <w:szCs w:val="26"/>
    </w:rPr>
  </w:style>
  <w:style w:type="character" w:styleId="Nadpis3Char" w:customStyle="1">
    <w:name w:val="Nadpis 3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b/>
      <w:color w:themeColor="text1" w:val="000000"/>
      <w:sz w:val="24"/>
      <w:szCs w:val="24"/>
    </w:rPr>
  </w:style>
  <w:style w:type="character" w:styleId="Nadpis4Char" w:customStyle="1">
    <w:name w:val="Nadpis 4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i/>
      <w:iCs/>
      <w:color w:themeColor="text1" w:val="000000"/>
      <w:sz w:val="24"/>
    </w:rPr>
  </w:style>
  <w:style w:type="character" w:styleId="Nadpis5Char" w:customStyle="1">
    <w:name w:val="Nadpis 5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b/>
      <w:color w:themeColor="text1" w:val="000000"/>
    </w:rPr>
  </w:style>
  <w:style w:type="character" w:styleId="Nadpis6Char" w:customStyle="1">
    <w:name w:val="Nadpis 6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i/>
      <w:color w:themeColor="text1" w:val="000000"/>
    </w:rPr>
  </w:style>
  <w:style w:type="character" w:styleId="Nadpis7Char" w:customStyle="1">
    <w:name w:val="Nadpis 7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iCs/>
      <w:color w:themeColor="text1" w:val="000000"/>
    </w:rPr>
  </w:style>
  <w:style w:type="character" w:styleId="Nadpis8Char" w:customStyle="1">
    <w:name w:val="Nadpis 8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b/>
      <w:color w:themeColor="text1" w:themeTint="d8" w:val="272727"/>
      <w:szCs w:val="21"/>
    </w:rPr>
  </w:style>
  <w:style w:type="character" w:styleId="Nadpis9Char" w:customStyle="1">
    <w:name w:val="Nadpis 9 Char"/>
    <w:basedOn w:val="DefaultParagraphFont"/>
    <w:uiPriority w:val="7"/>
    <w:rsid w:val="003250cb"/>
    <w:rPr>
      <w:rFonts w:ascii="Calibri" w:hAnsi="Calibri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NzevChar" w:customStyle="1">
    <w:name w:val="Název Char"/>
    <w:basedOn w:val="DefaultParagraphFont"/>
    <w:uiPriority w:val="4"/>
    <w:rsid w:val="003250cb"/>
    <w:rPr>
      <w:rFonts w:ascii="Calibri" w:hAnsi="Calibri" w:eastAsia="" w:cs="" w:asciiTheme="majorHAnsi" w:cstheme="majorBidi" w:eastAsiaTheme="majorEastAsia" w:hAnsiTheme="majorHAnsi"/>
      <w:color w:themeColor="text1" w:val="000000"/>
      <w:spacing w:val="-10"/>
      <w:kern w:val="2"/>
      <w:sz w:val="48"/>
      <w:szCs w:val="56"/>
    </w:rPr>
  </w:style>
  <w:style w:type="character" w:styleId="IntenseEmphasis">
    <w:name w:val="Intense Emphasis"/>
    <w:basedOn w:val="DefaultParagraphFont"/>
    <w:uiPriority w:val="21"/>
    <w:qFormat/>
    <w:rsid w:val="00ee6bd7"/>
    <w:rPr>
      <w:b/>
      <w:i/>
      <w:iCs/>
      <w:color w:themeColor="text1" w:val="000000"/>
    </w:rPr>
  </w:style>
  <w:style w:type="character" w:styleId="VrazncittChar" w:customStyle="1">
    <w:name w:val="Výrazný citát Char"/>
    <w:basedOn w:val="DefaultParagraphFont"/>
    <w:link w:val="IntenseQuote"/>
    <w:uiPriority w:val="28"/>
    <w:rsid w:val="00713948"/>
    <w:rPr>
      <w:i/>
      <w:iCs/>
      <w:color w:themeColor="text1" w:val="000000"/>
    </w:rPr>
  </w:style>
  <w:style w:type="character" w:styleId="IntenseReference">
    <w:name w:val="Intense Reference"/>
    <w:basedOn w:val="DefaultParagraphFont"/>
    <w:uiPriority w:val="24"/>
    <w:qFormat/>
    <w:rsid w:val="0039063c"/>
    <w:rPr>
      <w:b/>
      <w:bCs/>
      <w:smallCaps/>
      <w:color w:themeColor="text1" w:val="000000"/>
      <w:spacing w:val="5"/>
    </w:rPr>
  </w:style>
  <w:style w:type="character" w:styleId="PodnadpisChar" w:customStyle="1">
    <w:name w:val="Podnadpis Char"/>
    <w:basedOn w:val="DefaultParagraphFont"/>
    <w:uiPriority w:val="5"/>
    <w:rsid w:val="003250cb"/>
    <w:rPr>
      <w:rFonts w:eastAsia="" w:eastAsiaTheme="minorEastAsia"/>
      <w:color w:themeColor="text1" w:themeTint="a6" w:val="595959"/>
      <w:spacing w:val="15"/>
      <w:sz w:val="28"/>
    </w:rPr>
  </w:style>
  <w:style w:type="character" w:styleId="Hyperlink">
    <w:name w:val="Hyperlink"/>
    <w:basedOn w:val="DefaultParagraphFont"/>
    <w:uiPriority w:val="99"/>
    <w:unhideWhenUsed/>
    <w:rsid w:val="00d22462"/>
    <w:rPr>
      <w:color w:themeColor="hyperlink" w:val="004B8D"/>
      <w:u w:val="single"/>
    </w:rPr>
  </w:style>
  <w:style w:type="character" w:styleId="SubtleEmphasis">
    <w:name w:val="Subtle Emphasis"/>
    <w:basedOn w:val="DefaultParagraphFont"/>
    <w:uiPriority w:val="19"/>
    <w:qFormat/>
    <w:rsid w:val="00a275bc"/>
    <w:rPr>
      <w:i/>
      <w:iCs/>
      <w:color w:themeColor="text1" w:themeTint="a6" w:val="595959"/>
    </w:rPr>
  </w:style>
  <w:style w:type="character" w:styleId="SubtleReference">
    <w:name w:val="Subtle Reference"/>
    <w:basedOn w:val="DefaultParagraphFont"/>
    <w:uiPriority w:val="23"/>
    <w:qFormat/>
    <w:rsid w:val="00a275bc"/>
    <w:rPr>
      <w:smallCaps/>
      <w:color w:themeColor="text1" w:themeTint="a5" w:val="5A5A5A"/>
    </w:rPr>
  </w:style>
  <w:style w:type="character" w:styleId="CittChar" w:customStyle="1">
    <w:name w:val="Citát Char"/>
    <w:basedOn w:val="DefaultParagraphFont"/>
    <w:link w:val="Quote"/>
    <w:uiPriority w:val="27"/>
    <w:rsid w:val="00713948"/>
    <w:rPr>
      <w:i/>
      <w:iCs/>
      <w:color w:themeColor="text1" w:themeTint="a6" w:val="595959"/>
    </w:rPr>
  </w:style>
  <w:style w:type="character" w:styleId="Emphasis">
    <w:name w:val="Emphasis"/>
    <w:basedOn w:val="DefaultParagraphFont"/>
    <w:uiPriority w:val="20"/>
    <w:qFormat/>
    <w:rsid w:val="00713948"/>
    <w:rPr>
      <w:i/>
      <w:iCs/>
    </w:rPr>
  </w:style>
  <w:style w:type="character" w:styleId="DatumChar" w:customStyle="1">
    <w:name w:val="Datum Char"/>
    <w:basedOn w:val="DefaultParagraphFont"/>
    <w:link w:val="Date"/>
    <w:uiPriority w:val="31"/>
    <w:rsid w:val="005455e1"/>
    <w:rPr>
      <w:color w:themeColor="text1" w:val="000000"/>
    </w:rPr>
  </w:style>
  <w:style w:type="character" w:styleId="FollowedHyperlink">
    <w:name w:val="FollowedHyperlink"/>
    <w:basedOn w:val="DefaultParagraphFont"/>
    <w:uiPriority w:val="34"/>
    <w:semiHidden/>
    <w:unhideWhenUsed/>
    <w:rsid w:val="00486fb9"/>
    <w:rPr>
      <w:color w:themeColor="text1" w:themeTint="a6" w:val="595959"/>
      <w:u w:val="single"/>
    </w:rPr>
  </w:style>
  <w:style w:type="character" w:styleId="ZkladntextChar" w:customStyle="1">
    <w:name w:val="Základní text Char"/>
    <w:basedOn w:val="DefaultParagraphFont"/>
    <w:uiPriority w:val="1"/>
    <w:rsid w:val="009f393d"/>
    <w:rPr>
      <w:color w:themeColor="text1" w:val="000000"/>
    </w:rPr>
  </w:style>
  <w:style w:type="character" w:styleId="Zkladntext-prvnodsazenChar" w:customStyle="1">
    <w:name w:val="Základní text - první odsazený Char"/>
    <w:basedOn w:val="ZkladntextChar"/>
    <w:uiPriority w:val="1"/>
    <w:rsid w:val="009f393d"/>
    <w:rPr>
      <w:color w:themeColor="text1" w:val="000000"/>
    </w:rPr>
  </w:style>
  <w:style w:type="character" w:styleId="ZkladntextodsazenChar" w:customStyle="1">
    <w:name w:val="Základní text odsazený Char"/>
    <w:basedOn w:val="DefaultParagraphFont"/>
    <w:uiPriority w:val="1"/>
    <w:rsid w:val="00c805f2"/>
    <w:rPr>
      <w:color w:themeColor="text1" w:val="000000"/>
    </w:rPr>
  </w:style>
  <w:style w:type="character" w:styleId="ZhlavChar" w:customStyle="1">
    <w:name w:val="Záhlaví Char"/>
    <w:basedOn w:val="DefaultParagraphFont"/>
    <w:uiPriority w:val="99"/>
    <w:rsid w:val="00677fe0"/>
    <w:rPr>
      <w:color w:themeColor="text1" w:val="000000"/>
    </w:rPr>
  </w:style>
  <w:style w:type="character" w:styleId="ZpatChar" w:customStyle="1">
    <w:name w:val="Zápatí Char"/>
    <w:basedOn w:val="DefaultParagraphFont"/>
    <w:uiPriority w:val="99"/>
    <w:rsid w:val="00677fe0"/>
    <w:rPr>
      <w:color w:themeColor="text1" w:val="00000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rsid w:val="009900d5"/>
    <w:rPr>
      <w:color w:themeColor="text1" w:val="000000"/>
      <w:sz w:val="20"/>
      <w:szCs w:val="20"/>
    </w:rPr>
  </w:style>
  <w:style w:type="character" w:styleId="Znakypropoznmkupodarou">
    <w:name w:val="Znaky pro poznámku pod čarou"/>
    <w:basedOn w:val="DefaultParagraphFont"/>
    <w:uiPriority w:val="99"/>
    <w:semiHidden/>
    <w:unhideWhenUsed/>
    <w:rsid w:val="009900d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OdstavecseseznamemChar" w:customStyle="1">
    <w:name w:val="Odstavec se seznamem Char"/>
    <w:link w:val="ListParagraph"/>
    <w:uiPriority w:val="34"/>
    <w:qFormat/>
    <w:rsid w:val="001c56c2"/>
    <w:rPr>
      <w:color w:themeColor="text1"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c2a1c"/>
    <w:rPr>
      <w:sz w:val="16"/>
      <w:szCs w:val="16"/>
    </w:rPr>
  </w:style>
  <w:style w:type="character" w:styleId="TextkomenteChar" w:customStyle="1">
    <w:name w:val="Text komentáře Char"/>
    <w:basedOn w:val="DefaultParagraphFont"/>
    <w:uiPriority w:val="99"/>
    <w:rsid w:val="002c2a1c"/>
    <w:rPr>
      <w:color w:themeColor="text1" w:val="000000"/>
      <w:sz w:val="20"/>
      <w:szCs w:val="20"/>
    </w:rPr>
  </w:style>
  <w:style w:type="character" w:styleId="PedmtkomenteChar" w:customStyle="1">
    <w:name w:val="Předmět komentáře Char"/>
    <w:basedOn w:val="TextkomenteChar"/>
    <w:link w:val="annotationsubject"/>
    <w:uiPriority w:val="99"/>
    <w:semiHidden/>
    <w:rsid w:val="002c2a1c"/>
    <w:rPr>
      <w:b/>
      <w:bCs/>
      <w:color w:themeColor="text1" w:val="000000"/>
      <w:sz w:val="20"/>
      <w:szCs w:val="20"/>
    </w:rPr>
  </w:style>
  <w:style w:type="character" w:styleId="normaltextrun" w:customStyle="1">
    <w:name w:val="normaltextrun"/>
    <w:basedOn w:val="DefaultParagraphFont"/>
    <w:rsid w:val="00f21f00"/>
    <w:rPr/>
  </w:style>
  <w:style w:type="character" w:styleId="eop" w:customStyle="1">
    <w:name w:val="eop"/>
    <w:basedOn w:val="DefaultParagraphFont"/>
    <w:rsid w:val="00f21f00"/>
    <w:rPr/>
  </w:style>
  <w:style w:type="character" w:styleId="UnresolvedMention">
    <w:name w:val="Unresolved Mention"/>
    <w:basedOn w:val="DefaultParagraphFont"/>
    <w:uiPriority w:val="99"/>
    <w:semiHidden/>
    <w:unhideWhenUsed/>
    <w:rsid w:val="005d6166"/>
    <w:rPr>
      <w:color w:val="605E5C"/>
      <w:shd w:fill="E1DFDD" w:val="clear"/>
    </w:rPr>
  </w:style>
  <w:style w:type="character" w:styleId="EndnoteReference">
    <w:name w:val="endnote reference"/>
    <w:rPr>
      <w:vertAlign w:val="superscript"/>
    </w:rPr>
  </w:style>
  <w:style w:type="character" w:styleId="Znakyprovysvtlivky">
    <w:name w:val="Znaky pro vysvětlivky"/>
    <w:rPr/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ZkladntextChar"/>
    <w:uiPriority w:val="1"/>
    <w:rsid w:val="009f393d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ListParagraph">
    <w:name w:val="List Paragraph"/>
    <w:basedOn w:val="Normal"/>
    <w:link w:val="OdstavecseseznamemChar"/>
    <w:uiPriority w:val="34"/>
    <w:unhideWhenUsed/>
    <w:qFormat/>
    <w:rsid w:val="009f7f46"/>
    <w:pPr>
      <w:spacing w:before="0" w:after="160"/>
      <w:ind w:start="720"/>
      <w:contextualSpacing/>
    </w:pPr>
    <w:rPr/>
  </w:style>
  <w:style w:type="paragraph" w:styleId="Title">
    <w:name w:val="Title"/>
    <w:basedOn w:val="Normal"/>
    <w:next w:val="Normal"/>
    <w:link w:val="NzevChar"/>
    <w:uiPriority w:val="4"/>
    <w:qFormat/>
    <w:rsid w:val="00a63d6b"/>
    <w:pPr>
      <w:keepNext w:val="true"/>
      <w:keepLines/>
      <w:spacing w:lineRule="auto" w:line="240" w:before="0" w:after="0"/>
      <w:contextualSpacing/>
    </w:pPr>
    <w:rPr>
      <w:rFonts w:ascii="Calibri" w:hAnsi="Calibri" w:eastAsia="" w:cs="" w:asciiTheme="majorHAnsi" w:cstheme="majorBidi" w:eastAsiaTheme="majorEastAsia" w:hAnsiTheme="majorHAnsi"/>
      <w:spacing w:val="-10"/>
      <w:kern w:val="2"/>
      <w:sz w:val="48"/>
      <w:szCs w:val="56"/>
    </w:rPr>
  </w:style>
  <w:style w:type="paragraph" w:styleId="IntenseQuote">
    <w:name w:val="Intense Quote"/>
    <w:basedOn w:val="Normal"/>
    <w:next w:val="Normal"/>
    <w:link w:val="VrazncittChar"/>
    <w:uiPriority w:val="28"/>
    <w:qFormat/>
    <w:rsid w:val="00713948"/>
    <w:pPr>
      <w:keepLines/>
      <w:pBdr>
        <w:top w:val="single" w:sz="4" w:space="10" w:color="000000" w:themeColor="dark1"/>
        <w:bottom w:val="single" w:sz="4" w:space="10" w:color="000000" w:themeColor="dark1"/>
      </w:pBdr>
      <w:spacing w:before="240" w:after="240"/>
      <w:ind w:start="357" w:end="357"/>
    </w:pPr>
    <w:rPr>
      <w:i/>
      <w:iCs/>
    </w:rPr>
  </w:style>
  <w:style w:type="paragraph" w:styleId="ListNumber">
    <w:name w:val="List Number"/>
    <w:basedOn w:val="Normal"/>
    <w:uiPriority w:val="15"/>
    <w:qFormat/>
    <w:rsid w:val="001b1e4a"/>
    <w:pPr>
      <w:numPr>
        <w:ilvl w:val="0"/>
        <w:numId w:val="3"/>
      </w:numPr>
      <w:spacing w:before="0" w:after="0"/>
    </w:pPr>
    <w:rPr/>
  </w:style>
  <w:style w:type="paragraph" w:styleId="ListNumber2">
    <w:name w:val="List Number 2"/>
    <w:basedOn w:val="Normal"/>
    <w:uiPriority w:val="15"/>
    <w:qFormat/>
    <w:rsid w:val="001b1e4a"/>
    <w:pPr>
      <w:numPr>
        <w:ilvl w:val="1"/>
        <w:numId w:val="3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15"/>
    <w:qFormat/>
    <w:rsid w:val="001b1e4a"/>
    <w:pPr>
      <w:numPr>
        <w:ilvl w:val="2"/>
        <w:numId w:val="3"/>
      </w:numPr>
      <w:spacing w:before="0" w:after="0"/>
      <w:contextualSpacing/>
    </w:pPr>
    <w:rPr/>
  </w:style>
  <w:style w:type="paragraph" w:styleId="ListNumber4">
    <w:name w:val="List Number 4"/>
    <w:basedOn w:val="Normal"/>
    <w:uiPriority w:val="15"/>
    <w:qFormat/>
    <w:rsid w:val="001b1e4a"/>
    <w:pPr>
      <w:numPr>
        <w:ilvl w:val="3"/>
        <w:numId w:val="3"/>
      </w:numPr>
      <w:spacing w:before="0" w:after="0"/>
      <w:contextualSpacing/>
    </w:pPr>
    <w:rPr/>
  </w:style>
  <w:style w:type="paragraph" w:styleId="ListNumber5">
    <w:name w:val="List Number 5"/>
    <w:basedOn w:val="Normal"/>
    <w:uiPriority w:val="15"/>
    <w:qFormat/>
    <w:rsid w:val="001b1e4a"/>
    <w:pPr>
      <w:numPr>
        <w:ilvl w:val="4"/>
        <w:numId w:val="3"/>
      </w:numPr>
      <w:spacing w:before="0" w:after="0"/>
      <w:contextualSpacing/>
    </w:pPr>
    <w:rPr/>
  </w:style>
  <w:style w:type="paragraph" w:styleId="slovanseznamB" w:customStyle="1">
    <w:name w:val="Číslovaný seznam B"/>
    <w:basedOn w:val="Normal"/>
    <w:uiPriority w:val="16"/>
    <w:qFormat/>
    <w:rsid w:val="009f7f46"/>
    <w:pPr>
      <w:numPr>
        <w:ilvl w:val="0"/>
        <w:numId w:val="1"/>
      </w:numPr>
      <w:spacing w:before="0" w:after="0"/>
    </w:pPr>
    <w:rPr/>
  </w:style>
  <w:style w:type="paragraph" w:styleId="slovanseznamB2" w:customStyle="1">
    <w:name w:val="Číslovaný seznam B 2"/>
    <w:basedOn w:val="Normal"/>
    <w:uiPriority w:val="16"/>
    <w:qFormat/>
    <w:rsid w:val="009f7f46"/>
    <w:pPr>
      <w:numPr>
        <w:ilvl w:val="1"/>
        <w:numId w:val="1"/>
      </w:numPr>
      <w:spacing w:before="0" w:after="0"/>
    </w:pPr>
    <w:rPr/>
  </w:style>
  <w:style w:type="paragraph" w:styleId="slovanseznamB3" w:customStyle="1">
    <w:name w:val="Číslovaný seznam B 3"/>
    <w:basedOn w:val="Normal"/>
    <w:uiPriority w:val="16"/>
    <w:qFormat/>
    <w:rsid w:val="009f7f46"/>
    <w:pPr>
      <w:numPr>
        <w:ilvl w:val="2"/>
        <w:numId w:val="1"/>
      </w:numPr>
      <w:spacing w:before="0" w:after="0"/>
    </w:pPr>
    <w:rPr/>
  </w:style>
  <w:style w:type="paragraph" w:styleId="slovanseznamB4" w:customStyle="1">
    <w:name w:val="Číslovaný seznam B 4"/>
    <w:basedOn w:val="Normal"/>
    <w:uiPriority w:val="16"/>
    <w:qFormat/>
    <w:rsid w:val="009f7f46"/>
    <w:pPr>
      <w:numPr>
        <w:ilvl w:val="3"/>
        <w:numId w:val="1"/>
      </w:numPr>
      <w:spacing w:before="0" w:after="0"/>
    </w:pPr>
    <w:rPr/>
  </w:style>
  <w:style w:type="paragraph" w:styleId="slovanseznamB5" w:customStyle="1">
    <w:name w:val="Číslovaný seznam B 5"/>
    <w:basedOn w:val="Normal"/>
    <w:uiPriority w:val="16"/>
    <w:qFormat/>
    <w:rsid w:val="009f7f46"/>
    <w:pPr>
      <w:numPr>
        <w:ilvl w:val="4"/>
        <w:numId w:val="1"/>
      </w:numPr>
      <w:spacing w:before="0" w:after="0"/>
    </w:pPr>
    <w:rPr/>
  </w:style>
  <w:style w:type="paragraph" w:styleId="ListBullet3">
    <w:name w:val="List Bullet 3"/>
    <w:basedOn w:val="Normal"/>
    <w:uiPriority w:val="10"/>
    <w:qFormat/>
    <w:rsid w:val="00262daf"/>
    <w:pPr>
      <w:numPr>
        <w:ilvl w:val="2"/>
        <w:numId w:val="2"/>
      </w:numPr>
      <w:spacing w:before="0" w:after="0"/>
      <w:contextualSpacing/>
    </w:pPr>
    <w:rPr/>
  </w:style>
  <w:style w:type="paragraph" w:styleId="ListBullet4">
    <w:name w:val="List Bullet 4"/>
    <w:basedOn w:val="Normal"/>
    <w:uiPriority w:val="10"/>
    <w:qFormat/>
    <w:rsid w:val="00262daf"/>
    <w:pPr>
      <w:numPr>
        <w:ilvl w:val="3"/>
        <w:numId w:val="2"/>
      </w:numPr>
      <w:spacing w:before="0" w:after="0"/>
      <w:contextualSpacing/>
    </w:pPr>
    <w:rPr/>
  </w:style>
  <w:style w:type="paragraph" w:styleId="ListBullet5">
    <w:name w:val="List Bullet 5"/>
    <w:basedOn w:val="Normal"/>
    <w:uiPriority w:val="10"/>
    <w:qFormat/>
    <w:rsid w:val="00262daf"/>
    <w:pPr>
      <w:numPr>
        <w:ilvl w:val="4"/>
        <w:numId w:val="2"/>
      </w:numPr>
      <w:spacing w:before="0" w:after="0"/>
    </w:pPr>
    <w:rPr/>
  </w:style>
  <w:style w:type="paragraph" w:styleId="ListBullet">
    <w:name w:val="List Bullet"/>
    <w:basedOn w:val="Normal"/>
    <w:uiPriority w:val="10"/>
    <w:qFormat/>
    <w:rsid w:val="00262daf"/>
    <w:pPr>
      <w:numPr>
        <w:ilvl w:val="0"/>
        <w:numId w:val="2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10"/>
    <w:qFormat/>
    <w:rsid w:val="00262daf"/>
    <w:pPr>
      <w:numPr>
        <w:ilvl w:val="1"/>
        <w:numId w:val="2"/>
      </w:numPr>
      <w:spacing w:before="0" w:after="0"/>
      <w:contextualSpacing/>
    </w:pPr>
    <w:rPr/>
  </w:style>
  <w:style w:type="paragraph" w:styleId="Nadpis1-mimoobsah" w:customStyle="1">
    <w:name w:val="Nadpis 1 - mimo obsah"/>
    <w:basedOn w:val="Normal"/>
    <w:next w:val="Normal"/>
    <w:uiPriority w:val="8"/>
    <w:qFormat/>
    <w:rsid w:val="00831374"/>
    <w:pPr>
      <w:keepNext w:val="true"/>
      <w:keepLines/>
      <w:spacing w:before="160" w:after="0"/>
    </w:pPr>
    <w:rPr>
      <w:rFonts w:ascii="Calibri" w:hAnsi="Calibri" w:asciiTheme="majorHAnsi" w:hAnsiTheme="majorHAnsi"/>
      <w:b/>
      <w:sz w:val="28"/>
    </w:rPr>
  </w:style>
  <w:style w:type="paragraph" w:styleId="Nadpis2-mimoobsah" w:customStyle="1">
    <w:name w:val="Nadpis 2 - mimo obsah"/>
    <w:basedOn w:val="Normal"/>
    <w:next w:val="Normal"/>
    <w:uiPriority w:val="8"/>
    <w:qFormat/>
    <w:rsid w:val="00ab523b"/>
    <w:pPr>
      <w:keepNext w:val="true"/>
      <w:keepLines/>
      <w:spacing w:before="80" w:after="0"/>
    </w:pPr>
    <w:rPr>
      <w:rFonts w:ascii="Calibri" w:hAnsi="Calibri" w:asciiTheme="majorHAnsi" w:hAnsiTheme="majorHAnsi"/>
      <w:b/>
      <w:sz w:val="26"/>
    </w:rPr>
  </w:style>
  <w:style w:type="paragraph" w:styleId="Nadpis3-mimoobsah" w:customStyle="1">
    <w:name w:val="Nadpis 3 - mimo obsah"/>
    <w:basedOn w:val="Normal"/>
    <w:next w:val="Normal"/>
    <w:uiPriority w:val="8"/>
    <w:qFormat/>
    <w:rsid w:val="00bb479c"/>
    <w:pPr>
      <w:keepNext w:val="true"/>
      <w:keepLines/>
      <w:spacing w:before="40" w:after="0"/>
    </w:pPr>
    <w:rPr>
      <w:rFonts w:ascii="Calibri" w:hAnsi="Calibri" w:asciiTheme="majorHAnsi" w:hAnsiTheme="majorHAnsi"/>
      <w:b/>
      <w:sz w:val="24"/>
    </w:rPr>
  </w:style>
  <w:style w:type="paragraph" w:styleId="Nadpis4-mimoobsah" w:customStyle="1">
    <w:name w:val="Nadpis 4 - mimo obsah"/>
    <w:basedOn w:val="Normal"/>
    <w:next w:val="Normal"/>
    <w:uiPriority w:val="8"/>
    <w:qFormat/>
    <w:rsid w:val="00bb479c"/>
    <w:pPr>
      <w:keepNext w:val="true"/>
      <w:keepLines/>
      <w:spacing w:before="40" w:after="0"/>
    </w:pPr>
    <w:rPr>
      <w:rFonts w:ascii="Calibri" w:hAnsi="Calibri" w:asciiTheme="majorHAnsi" w:hAnsiTheme="majorHAnsi"/>
      <w:i/>
      <w:sz w:val="24"/>
    </w:rPr>
  </w:style>
  <w:style w:type="paragraph" w:styleId="Nadpis5-mimoobsah" w:customStyle="1">
    <w:name w:val="Nadpis 5 - mimo obsah"/>
    <w:basedOn w:val="Normal"/>
    <w:next w:val="Normal"/>
    <w:uiPriority w:val="8"/>
    <w:qFormat/>
    <w:rsid w:val="00bb479c"/>
    <w:pPr>
      <w:keepNext w:val="true"/>
      <w:keepLines/>
      <w:spacing w:before="40" w:after="0"/>
    </w:pPr>
    <w:rPr>
      <w:rFonts w:ascii="Calibri" w:hAnsi="Calibri" w:asciiTheme="majorHAnsi" w:hAnsiTheme="majorHAnsi"/>
      <w:b/>
    </w:rPr>
  </w:style>
  <w:style w:type="paragraph" w:styleId="Nadpis7mimoobsah" w:customStyle="1">
    <w:name w:val="Nadpis 7 mimo obsah"/>
    <w:basedOn w:val="Normal"/>
    <w:next w:val="Normal"/>
    <w:uiPriority w:val="8"/>
    <w:qFormat/>
    <w:rsid w:val="00bb479c"/>
    <w:pPr>
      <w:keepNext w:val="true"/>
      <w:keepLines/>
      <w:spacing w:before="40" w:after="0"/>
    </w:pPr>
    <w:rPr>
      <w:rFonts w:ascii="Calibri" w:hAnsi="Calibri" w:asciiTheme="majorHAnsi" w:hAnsiTheme="majorHAnsi"/>
    </w:rPr>
  </w:style>
  <w:style w:type="paragraph" w:styleId="Nadpis6mimoobsah" w:customStyle="1">
    <w:name w:val="Nadpis 6 mimo obsah"/>
    <w:basedOn w:val="Normal"/>
    <w:next w:val="Normal"/>
    <w:uiPriority w:val="8"/>
    <w:qFormat/>
    <w:rsid w:val="00a95c48"/>
    <w:pPr>
      <w:keepNext w:val="true"/>
      <w:keepLines/>
      <w:spacing w:before="40" w:after="0"/>
    </w:pPr>
    <w:rPr>
      <w:rFonts w:ascii="Calibri" w:hAnsi="Calibri" w:asciiTheme="majorHAnsi" w:hAnsiTheme="majorHAnsi"/>
      <w:i/>
    </w:rPr>
  </w:style>
  <w:style w:type="paragraph" w:styleId="Nadpis8mimoobsah" w:customStyle="1">
    <w:name w:val="Nadpis 8 mimo obsah"/>
    <w:basedOn w:val="Normal"/>
    <w:next w:val="Normal"/>
    <w:uiPriority w:val="8"/>
    <w:qFormat/>
    <w:rsid w:val="00a95c48"/>
    <w:pPr>
      <w:keepNext w:val="true"/>
      <w:keepLines/>
      <w:spacing w:before="40" w:after="0"/>
    </w:pPr>
    <w:rPr>
      <w:rFonts w:ascii="Calibri" w:hAnsi="Calibri" w:asciiTheme="majorHAnsi" w:hAnsiTheme="majorHAnsi"/>
      <w:b/>
      <w:sz w:val="21"/>
      <w:szCs w:val="21"/>
    </w:rPr>
  </w:style>
  <w:style w:type="paragraph" w:styleId="Nadpis9mimoobsah" w:customStyle="1">
    <w:name w:val="Nadpis 9 mimo obsah"/>
    <w:basedOn w:val="Normal"/>
    <w:next w:val="Normal"/>
    <w:uiPriority w:val="8"/>
    <w:qFormat/>
    <w:rsid w:val="00a95c48"/>
    <w:pPr>
      <w:keepNext w:val="true"/>
      <w:keepLines/>
      <w:spacing w:before="40" w:after="0"/>
    </w:pPr>
    <w:rPr>
      <w:rFonts w:ascii="Calibri" w:hAnsi="Calibri" w:asciiTheme="majorHAnsi" w:hAnsiTheme="majorHAnsi"/>
      <w:i/>
      <w:sz w:val="21"/>
      <w:szCs w:val="21"/>
    </w:rPr>
  </w:style>
  <w:style w:type="paragraph" w:styleId="Subtitle">
    <w:name w:val="Subtitle"/>
    <w:basedOn w:val="Normal"/>
    <w:next w:val="Normal"/>
    <w:link w:val="PodnadpisChar"/>
    <w:uiPriority w:val="5"/>
    <w:qFormat/>
    <w:rsid w:val="008d4a32"/>
    <w:pPr/>
    <w:rPr>
      <w:rFonts w:eastAsia="" w:eastAsiaTheme="minorEastAsia"/>
      <w:color w:themeColor="text1" w:themeTint="a6" w:val="595959"/>
      <w:spacing w:val="15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d22462"/>
    <w:pPr>
      <w:spacing w:before="0" w:after="100"/>
    </w:pPr>
    <w:rPr/>
  </w:style>
  <w:style w:type="paragraph" w:styleId="TOC2">
    <w:name w:val="toc 2"/>
    <w:basedOn w:val="Normal"/>
    <w:next w:val="Normal"/>
    <w:autoRedefine/>
    <w:uiPriority w:val="39"/>
    <w:unhideWhenUsed/>
    <w:rsid w:val="00d22462"/>
    <w:pPr>
      <w:spacing w:before="0" w:after="100"/>
      <w:ind w:start="220"/>
    </w:pPr>
    <w:rPr/>
  </w:style>
  <w:style w:type="paragraph" w:styleId="TOC3">
    <w:name w:val="toc 3"/>
    <w:basedOn w:val="Normal"/>
    <w:next w:val="Normal"/>
    <w:autoRedefine/>
    <w:uiPriority w:val="39"/>
    <w:unhideWhenUsed/>
    <w:rsid w:val="00d22462"/>
    <w:pPr>
      <w:spacing w:before="0" w:after="100"/>
      <w:ind w:start="440"/>
    </w:pPr>
    <w:rPr/>
  </w:style>
  <w:style w:type="paragraph" w:styleId="TOC4">
    <w:name w:val="toc 4"/>
    <w:basedOn w:val="Normal"/>
    <w:next w:val="Normal"/>
    <w:autoRedefine/>
    <w:uiPriority w:val="39"/>
    <w:unhideWhenUsed/>
    <w:rsid w:val="00d22462"/>
    <w:pPr>
      <w:spacing w:before="0" w:after="100"/>
      <w:ind w:start="660"/>
    </w:pPr>
    <w:rPr/>
  </w:style>
  <w:style w:type="paragraph" w:styleId="TOC5">
    <w:name w:val="toc 5"/>
    <w:basedOn w:val="Normal"/>
    <w:next w:val="Normal"/>
    <w:autoRedefine/>
    <w:uiPriority w:val="39"/>
    <w:unhideWhenUsed/>
    <w:rsid w:val="00d22462"/>
    <w:pPr>
      <w:spacing w:before="0" w:after="100"/>
      <w:ind w:start="880"/>
    </w:pPr>
    <w:rPr/>
  </w:style>
  <w:style w:type="paragraph" w:styleId="TOC6">
    <w:name w:val="toc 6"/>
    <w:basedOn w:val="Normal"/>
    <w:next w:val="Normal"/>
    <w:autoRedefine/>
    <w:uiPriority w:val="39"/>
    <w:unhideWhenUsed/>
    <w:rsid w:val="00d22462"/>
    <w:pPr>
      <w:spacing w:before="0" w:after="100"/>
      <w:ind w:start="1100"/>
    </w:pPr>
    <w:rPr/>
  </w:style>
  <w:style w:type="paragraph" w:styleId="TOC7">
    <w:name w:val="toc 7"/>
    <w:basedOn w:val="Normal"/>
    <w:next w:val="Normal"/>
    <w:autoRedefine/>
    <w:uiPriority w:val="39"/>
    <w:unhideWhenUsed/>
    <w:rsid w:val="00d22462"/>
    <w:pPr>
      <w:spacing w:before="0" w:after="100"/>
      <w:ind w:start="1320"/>
    </w:pPr>
    <w:rPr/>
  </w:style>
  <w:style w:type="paragraph" w:styleId="TOC8">
    <w:name w:val="toc 8"/>
    <w:basedOn w:val="Normal"/>
    <w:next w:val="Normal"/>
    <w:autoRedefine/>
    <w:uiPriority w:val="39"/>
    <w:unhideWhenUsed/>
    <w:rsid w:val="00d22462"/>
    <w:pPr>
      <w:spacing w:before="0" w:after="100"/>
      <w:ind w:start="1540"/>
    </w:pPr>
    <w:rPr/>
  </w:style>
  <w:style w:type="paragraph" w:styleId="TOC9">
    <w:name w:val="toc 9"/>
    <w:basedOn w:val="Normal"/>
    <w:next w:val="Normal"/>
    <w:autoRedefine/>
    <w:uiPriority w:val="39"/>
    <w:unhideWhenUsed/>
    <w:rsid w:val="00d22462"/>
    <w:pPr>
      <w:spacing w:before="0" w:after="100"/>
      <w:ind w:start="1760"/>
    </w:pPr>
    <w:rPr/>
  </w:style>
  <w:style w:type="paragraph" w:styleId="Quote">
    <w:name w:val="Quote"/>
    <w:basedOn w:val="Normal"/>
    <w:next w:val="Normal"/>
    <w:link w:val="CittChar"/>
    <w:uiPriority w:val="27"/>
    <w:qFormat/>
    <w:rsid w:val="00713948"/>
    <w:pPr>
      <w:keepLines/>
      <w:spacing w:before="240" w:after="160"/>
      <w:ind w:start="357" w:end="357"/>
    </w:pPr>
    <w:rPr>
      <w:i/>
      <w:iCs/>
      <w:color w:themeColor="text1" w:themeTint="a6" w:val="595959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Nadpis1-mimoobsah"/>
    <w:next w:val="Normal"/>
    <w:uiPriority w:val="6"/>
    <w:unhideWhenUsed/>
    <w:qFormat/>
    <w:rsid w:val="003b565a"/>
    <w:pPr/>
    <w:rPr/>
  </w:style>
  <w:style w:type="paragraph" w:styleId="Date">
    <w:name w:val="Date"/>
    <w:basedOn w:val="Normal"/>
    <w:next w:val="Normal"/>
    <w:link w:val="DatumChar"/>
    <w:uiPriority w:val="31"/>
    <w:unhideWhenUsed/>
    <w:rsid w:val="00486fb9"/>
    <w:pPr/>
    <w:rPr/>
  </w:style>
  <w:style w:type="paragraph" w:styleId="BlockText">
    <w:name w:val="Block Text"/>
    <w:basedOn w:val="Normal"/>
    <w:uiPriority w:val="29"/>
    <w:unhideWhenUsed/>
    <w:rsid w:val="009516a8"/>
    <w:pPr>
      <w:pBdr>
        <w:top w:val="single" w:sz="2" w:space="10" w:color="000000" w:themeColor="dark1"/>
        <w:left w:val="single" w:sz="2" w:space="10" w:color="000000" w:themeColor="dark1"/>
        <w:bottom w:val="single" w:sz="2" w:space="10" w:color="000000" w:themeColor="dark1"/>
        <w:right w:val="single" w:sz="2" w:space="10" w:color="000000" w:themeColor="dark1"/>
      </w:pBdr>
      <w:ind w:start="357" w:end="357"/>
    </w:pPr>
    <w:rPr>
      <w:rFonts w:eastAsia="" w:eastAsiaTheme="minorEastAsia"/>
      <w:i/>
      <w:iCs/>
    </w:rPr>
  </w:style>
  <w:style w:type="paragraph" w:styleId="BodyTextFirstIndent">
    <w:name w:val="Body Text First Indent"/>
    <w:basedOn w:val="BodyText"/>
    <w:link w:val="Zkladntext-prvnodsazenChar"/>
    <w:uiPriority w:val="1"/>
    <w:rsid w:val="009f393d"/>
    <w:pPr>
      <w:ind w:firstLine="357"/>
    </w:pPr>
    <w:rPr/>
  </w:style>
  <w:style w:type="paragraph" w:styleId="BodyTextIndent">
    <w:name w:val="Body Text Indent"/>
    <w:basedOn w:val="Normal"/>
    <w:link w:val="ZkladntextodsazenChar"/>
    <w:uiPriority w:val="1"/>
    <w:rsid w:val="009f393d"/>
    <w:pPr>
      <w:ind w:start="357"/>
    </w:pPr>
    <w:rPr/>
  </w:style>
  <w:style w:type="paragraph" w:styleId="SeznamsodrkamiB" w:customStyle="1">
    <w:name w:val="Seznam s odrážkami B"/>
    <w:basedOn w:val="Normal"/>
    <w:uiPriority w:val="11"/>
    <w:qFormat/>
    <w:rsid w:val="007102d2"/>
    <w:pPr>
      <w:numPr>
        <w:ilvl w:val="0"/>
        <w:numId w:val="4"/>
      </w:numPr>
      <w:spacing w:before="0" w:after="0"/>
    </w:pPr>
    <w:rPr/>
  </w:style>
  <w:style w:type="paragraph" w:styleId="SeznamsodrkamiB2" w:customStyle="1">
    <w:name w:val="Seznam s odrážkami B 2"/>
    <w:basedOn w:val="Normal"/>
    <w:uiPriority w:val="11"/>
    <w:qFormat/>
    <w:rsid w:val="007102d2"/>
    <w:pPr>
      <w:numPr>
        <w:ilvl w:val="1"/>
        <w:numId w:val="4"/>
      </w:numPr>
      <w:spacing w:before="0" w:after="0"/>
    </w:pPr>
    <w:rPr/>
  </w:style>
  <w:style w:type="paragraph" w:styleId="SeznamsodrkamiB3" w:customStyle="1">
    <w:name w:val="Seznam s odrážkami B 3"/>
    <w:basedOn w:val="Normal"/>
    <w:uiPriority w:val="11"/>
    <w:qFormat/>
    <w:rsid w:val="007102d2"/>
    <w:pPr>
      <w:numPr>
        <w:ilvl w:val="2"/>
        <w:numId w:val="4"/>
      </w:numPr>
      <w:spacing w:before="0" w:after="0"/>
    </w:pPr>
    <w:rPr/>
  </w:style>
  <w:style w:type="paragraph" w:styleId="SeznamsodrkamiB4" w:customStyle="1">
    <w:name w:val="Seznam s odrážkami B 4"/>
    <w:basedOn w:val="Normal"/>
    <w:uiPriority w:val="11"/>
    <w:qFormat/>
    <w:rsid w:val="007102d2"/>
    <w:pPr>
      <w:numPr>
        <w:ilvl w:val="3"/>
        <w:numId w:val="4"/>
      </w:numPr>
      <w:spacing w:before="0" w:after="0"/>
    </w:pPr>
    <w:rPr/>
  </w:style>
  <w:style w:type="paragraph" w:styleId="SeznamsodrkamiB5" w:customStyle="1">
    <w:name w:val="Seznam s odrážkami B 5"/>
    <w:basedOn w:val="Normal"/>
    <w:uiPriority w:val="11"/>
    <w:qFormat/>
    <w:rsid w:val="007102d2"/>
    <w:pPr>
      <w:numPr>
        <w:ilvl w:val="4"/>
        <w:numId w:val="4"/>
      </w:numPr>
      <w:spacing w:before="0" w:after="0"/>
    </w:pPr>
    <w:rPr/>
  </w:style>
  <w:style w:type="paragraph" w:styleId="Zhlavazpat">
    <w:name w:val="Záhlaví a zápatí"/>
    <w:basedOn w:val="Normal"/>
    <w:pPr/>
    <w:rPr/>
  </w:style>
  <w:style w:type="paragraph" w:styleId="Header">
    <w:name w:val="header"/>
    <w:basedOn w:val="Normal"/>
    <w:link w:val="ZhlavChar"/>
    <w:uiPriority w:val="99"/>
    <w:unhideWhenUsed/>
    <w:rsid w:val="00677fe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677fe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ylTimesNewRoman12bzarovnnnasted" w:customStyle="1">
    <w:name w:val="Styl Times New Roman 12 b. zarovnání na střed"/>
    <w:basedOn w:val="Heading4"/>
    <w:autoRedefine/>
    <w:rsid w:val="00030567"/>
    <w:pPr>
      <w:jc w:val="center"/>
    </w:pPr>
    <w:rPr>
      <w:rFonts w:ascii="Times New Roman" w:hAnsi="Times New Roman" w:eastAsia="Times New Roman" w:cs="Times New Roman"/>
      <w:i w:val="false"/>
      <w:szCs w:val="20"/>
    </w:rPr>
  </w:style>
  <w:style w:type="paragraph" w:styleId="FootnoteText">
    <w:name w:val="footnote text"/>
    <w:basedOn w:val="Normal"/>
    <w:link w:val="TextpoznpodarouChar"/>
    <w:uiPriority w:val="99"/>
    <w:semiHidden/>
    <w:unhideWhenUsed/>
    <w:rsid w:val="009900d5"/>
    <w:pPr>
      <w:spacing w:lineRule="auto" w:line="240" w:before="0" w:after="0"/>
    </w:pPr>
    <w:rPr>
      <w:sz w:val="20"/>
      <w:szCs w:val="20"/>
    </w:rPr>
  </w:style>
  <w:style w:type="paragraph" w:styleId="CommentText">
    <w:name w:val="annotation text"/>
    <w:basedOn w:val="Normal"/>
    <w:link w:val="TextkomenteChar"/>
    <w:uiPriority w:val="99"/>
    <w:unhideWhenUsed/>
    <w:rsid w:val="002c2a1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PedmtkomenteChar"/>
    <w:uiPriority w:val="99"/>
    <w:semiHidden/>
    <w:unhideWhenUsed/>
    <w:rsid w:val="002c2a1c"/>
    <w:pPr/>
    <w:rPr>
      <w:b/>
      <w:bCs/>
    </w:rPr>
  </w:style>
  <w:style w:type="paragraph" w:styleId="Oddl" w:customStyle="1">
    <w:name w:val="Oddíl"/>
    <w:basedOn w:val="Normal"/>
    <w:next w:val="Normal"/>
    <w:rsid w:val="00641f9a"/>
    <w:pPr>
      <w:keepNext w:val="true"/>
      <w:keepLines/>
      <w:spacing w:lineRule="auto" w:line="257" w:before="240" w:after="160"/>
      <w:jc w:val="center"/>
      <w:outlineLvl w:val="4"/>
    </w:pPr>
    <w:rPr>
      <w:color w:val="auto"/>
    </w:rPr>
  </w:style>
  <w:style w:type="paragraph" w:styleId="oj-doc-ti" w:customStyle="1">
    <w:name w:val="oj-doc-ti"/>
    <w:basedOn w:val="Normal"/>
    <w:rsid w:val="00641f9a"/>
    <w:pPr>
      <w:spacing w:lineRule="auto" w:line="257" w:beforeAutospacing="1" w:afterAutospacing="1"/>
    </w:pPr>
    <w:rPr>
      <w:color w:val="auto"/>
      <w:szCs w:val="24"/>
    </w:rPr>
  </w:style>
  <w:style w:type="paragraph" w:styleId="doc-ti" w:customStyle="1">
    <w:name w:val="doc-ti"/>
    <w:basedOn w:val="Normal"/>
    <w:rsid w:val="00641f9a"/>
    <w:pPr>
      <w:spacing w:lineRule="auto" w:line="257" w:beforeAutospacing="1" w:afterAutospacing="1"/>
    </w:pPr>
    <w:rPr>
      <w:color w:val="auto"/>
      <w:szCs w:val="24"/>
    </w:rPr>
  </w:style>
  <w:style w:type="paragraph" w:styleId="paragraph" w:customStyle="1">
    <w:name w:val="paragraph"/>
    <w:basedOn w:val="Normal"/>
    <w:rsid w:val="00f21f00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cs-CZ"/>
    </w:rPr>
  </w:style>
  <w:style w:type="paragraph" w:styleId="Revision">
    <w:name w:val="Revision"/>
    <w:uiPriority w:val="99"/>
    <w:semiHidden/>
    <w:rsid w:val="001e7f71"/>
    <w:pPr>
      <w:widowControl/>
      <w:bidi w:val="0"/>
      <w:spacing w:lineRule="auto" w:line="240" w:before="0" w:after="0"/>
      <w:jc w:val="start"/>
    </w:pPr>
    <w:rPr>
      <w:rFonts w:ascii="Calibri" w:hAnsi="Calibri" w:eastAsia="Calibri" w:cs=""/>
      <w:color w:themeColor="text1" w:val="000000"/>
      <w:kern w:val="0"/>
      <w:sz w:val="22"/>
      <w:szCs w:val="22"/>
      <w:lang w:val="cs-CZ" w:eastAsia="en-US" w:bidi="ar-SA"/>
    </w:rPr>
  </w:style>
  <w:style w:type="paragraph" w:styleId="NoSpacing">
    <w:name w:val="No Spacing"/>
    <w:uiPriority w:val="1"/>
    <w:qFormat/>
    <w:rsid w:val="00741cb8"/>
    <w:pPr>
      <w:widowControl/>
      <w:bidi w:val="0"/>
      <w:spacing w:lineRule="auto" w:line="240"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cs-CZ" w:eastAsia="en-US" w:bidi="ar-SA"/>
    </w:rPr>
  </w:style>
  <w:style w:type="numbering" w:styleId="Bezseznamu" w:default="1">
    <w:name w:val="Bez seznamu"/>
    <w:uiPriority w:val="99"/>
    <w:semiHidden/>
    <w:unhideWhenUsed/>
  </w:style>
  <w:style w:type="numbering" w:styleId="VariantaB-odrky" w:customStyle="1">
    <w:name w:val="Varianta B - odrážky"/>
    <w:uiPriority w:val="99"/>
    <w:rsid w:val="007102d2"/>
  </w:style>
  <w:style w:type="numbering" w:styleId="VariantaA-odrky" w:customStyle="1">
    <w:name w:val="Varianta A - odrážky"/>
    <w:uiPriority w:val="99"/>
    <w:rsid w:val="00262daf"/>
  </w:style>
  <w:style w:type="numbering" w:styleId="VariantaA-sla" w:customStyle="1">
    <w:name w:val="Varianta A - čísla"/>
    <w:uiPriority w:val="99"/>
    <w:rsid w:val="00b50ee6"/>
  </w:style>
  <w:style w:type="numbering" w:styleId="VariantaB-sla" w:customStyle="1">
    <w:name w:val="Varianta B - čísla"/>
    <w:uiPriority w:val="99"/>
    <w:rsid w:val="009f7f46"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ae3a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PO colors">
      <a:dk1>
        <a:srgbClr val="000000"/>
      </a:dk1>
      <a:lt1>
        <a:srgbClr val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23803-0EF1-4314-A43E-86972C62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LibreOffice/26.8.1.1$Windows_X86_64 LibreOffice_project/bf6ef2662401c7d6dce671ab4deb26ee0af3a7c1</Application>
  <AppVersion>15.0000</AppVersion>
  <Pages>15</Pages>
  <Words>4938</Words>
  <Characters>27412</Characters>
  <CharactersWithSpaces>31963</CharactersWithSpaces>
  <Paragraphs>281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2026-10-26T14:06:00Z</dcterms:created>
  <dc:creator>Tomáš Dundr</dc:creator>
  <dc:description/>
  <dc:language>en-GB</dc:language>
  <cp:lastModifiedBy>Burdová Karolína</cp:lastModifiedBy>
  <dcterms:modified xsi:type="dcterms:W3CDTF">2026-10-26T14:24:00Z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