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pacing w:val="24"/>
          <w:sz w:val="24"/>
          <w:szCs w:val="24"/>
        </w:rPr>
      </w:pPr>
      <w:r>
        <w:rPr>
          <w:rFonts w:cs="Times New Roman" w:ascii="Times New Roman" w:hAnsi="Times New Roman"/>
          <w:spacing w:val="24"/>
          <w:sz w:val="24"/>
          <w:szCs w:val="24"/>
        </w:rPr>
        <w:t>III.</w:t>
      </w:r>
    </w:p>
    <w:p>
      <w:pPr>
        <w:pStyle w:val="Normal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>
        <w:rPr>
          <w:rFonts w:cs="Times New Roman" w:ascii="Times New Roman" w:hAnsi="Times New Roman"/>
          <w:spacing w:val="24"/>
          <w:sz w:val="24"/>
          <w:szCs w:val="24"/>
        </w:rPr>
        <w:t>Návrh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dpiszkona"/>
        <w:keepNext w:val="false"/>
        <w:keepLines w:val="false"/>
        <w:spacing w:lineRule="auto" w:line="240" w:before="0" w:after="120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t>zákon</w:t>
      </w:r>
    </w:p>
    <w:p>
      <w:pPr>
        <w:pStyle w:val="Nadpiszkona"/>
        <w:keepNext w:val="false"/>
        <w:keepLines w:val="false"/>
        <w:spacing w:lineRule="auto" w:line="240" w:before="0" w:after="120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ze dne……………….. 2020,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356" w:leader="none"/>
        </w:tabs>
        <w:spacing w:before="0" w:after="120"/>
        <w:jc w:val="center"/>
        <w:outlineLvl w:val="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kterým se mění zákon č. 561/2004 Sb., o předškolním, základním, středním, vyšším odborném a jiném vzdělávání (školský zákon), ve znění pozdějších předpisů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Parlament se usnesl na tomto zákoně České republiky: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Čl. I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zákoně č. 561/2004 Sb., o předškolním, základním, středním, vyšším odborném a jiném vzdělávání (školský zákon), ve znění zákona č. 383/2005 Sb., zákona č. 112/2006 Sb., zákona č. 158/2006 Sb., zákona č. 161/2006 Sb., zákona č. 165/2006 Sb., zákona č. 179/2006 Sb., zákona č. 342/2006 Sb., zákona č. 624/2006 Sb., zákona č. 217/2007 Sb., zákona č. 296/2007 Sb., zákona č. 343/2007 Sb., zákona č. 58/2008 Sb., zákona č. 126/2008 Sb., zákona č. 189/2008 Sb., zákona č. 242/2008 Sb., zákona č. 243/2008 Sb., zákona č. 306/2008 Sb., zákona č. 384/2008 Sb., zákona č. 49/2009 Sb., zákona č. 227/2009 Sb., zákona č. 378/2009 Sb., zákona č. 427/2010 Sb., zákona č. 73/2011 Sb., zákona č. 331/2011 Sb.,</w:t>
      </w:r>
      <w:r>
        <w:rPr>
          <w:rFonts w:cs="Times New Roman" w:ascii="Times New Roman" w:hAnsi="Times New Roman"/>
          <w:bCs/>
          <w:sz w:val="24"/>
          <w:szCs w:val="24"/>
        </w:rPr>
        <w:t xml:space="preserve"> zákona č. 375/2011 Sb., zákona č. 420/2011 Sb., zákona č. 472/2011 Sb., zákona č. 53/2012 Sb., zákona č. 333/2012 Sb.</w:t>
      </w:r>
      <w:r>
        <w:rPr>
          <w:rFonts w:cs="Times New Roman" w:ascii="Times New Roman" w:hAnsi="Times New Roman"/>
          <w:sz w:val="24"/>
          <w:szCs w:val="24"/>
        </w:rPr>
        <w:t>, zákona č. 370/2012 Sb., zákona č. 241/2013 Sb., zákonného opatření Senátu č. 344/2013 Sb., zákona č. 64/2014 Sb., zákona č. 250/2014 Sb., zákona č. 82/2015 Sb., zákona č. 178/2016 Sb., zákona č. 230/2016 Sb., zákona č. 101/2017 Sb., zákona č. 222/2017 Sb., zákona č. 167/2018 Sb., zákona č. 46/2019 Sb. a zákona č. 284/2020 Sb., se za § 184 vkládá nový § 184a, který zní: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§ 184a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Zvláštní pravidla při omezení osobní přítomnosti dětí, žáků a studentů ve školách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(1) Pokud z důvodu krizového opatření vyhlášeného v souvislosti s krizovým stavem podle krizového zákona, z důvodu nařízení mimořádného opatření Ministerstva zdravotnictví nebo krajské hygienické stanice podle zákona o ochraně veřejného zdraví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nebo z důvodu nařízení karantény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není možná osobní přítomnost většiny dětí, žáků nebo studentů z nejméně 1 třídy, studijní skupiny nebo oddělení ve škole, poskytuje škola po tuto dobu dotčeným dětem, žákům nebo studentům vzdělávání distančním způsobem.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(2) Vzdělávání distančním způsobem podle odstavce 1 škola uskutečňuje podle příslušného rámcového vzdělávacího programu a školního vzdělávacího programu v míře odpovídající okolnostem.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(3) Děti, žáci a studenti jsou povinni se vzdělávat distančním způsobem s výjimkou dětí v mateřské škole, pro které není předškolní vzdělávání povinné, a s výjimkou žáků základní umělecké školy a jazykové školy s právem státní jazykové zkoušky. Způsob poskytování vzdělávání a hodnocení výsledků vzdělávání distančním způsobem přizpůsobí škola podmínkám dítěte, žáka nebo studenta pro toto vzdělávání.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(4) V případě, kdy podle odstavce 1 není možná osobní přítomnost dětí, žáků nebo studentů ve škole, může ministerstvo určit opatřením obecné povahy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odlišné termíny nebo lhůty od termínů nebo lhůt stanovených tímto zákonem nebo prováděcími právními předpisy, pokud není jejich naplnění možné nebo by jejich naplnění přineslo nezanedbatelné obtíže,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odlišný způsob přijímání ke vzdělávání a ukončování vzdělávání.“.</w:t>
      </w:r>
      <w:bookmarkStart w:id="0" w:name="_GoBack"/>
      <w:bookmarkEnd w:id="0"/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Čl. 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Účinnost</w:t>
      </w:r>
    </w:p>
    <w:p>
      <w:pPr>
        <w:pStyle w:val="Normal"/>
        <w:spacing w:before="0" w:after="16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Tento zákona nabývá účinnosti dnem následujícím po dni jeho vyhlášení.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1235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12358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f12358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f12358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12358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12358"/>
    <w:pPr>
      <w:spacing w:before="0" w:after="160"/>
      <w:ind w:left="720" w:hanging="0"/>
      <w:contextualSpacing/>
    </w:pPr>
    <w:rPr/>
  </w:style>
  <w:style w:type="paragraph" w:styleId="Nadpiszkona" w:customStyle="1">
    <w:name w:val="nadpis zákona"/>
    <w:basedOn w:val="Normal"/>
    <w:next w:val="Normal"/>
    <w:qFormat/>
    <w:rsid w:val="00f12358"/>
    <w:pPr>
      <w:keepNext w:val="true"/>
      <w:keepLines/>
      <w:suppressAutoHyphens w:val="true"/>
      <w:spacing w:lineRule="auto" w:line="276" w:before="120" w:after="200"/>
      <w:jc w:val="center"/>
    </w:pPr>
    <w:rPr>
      <w:rFonts w:ascii="Calibri" w:hAnsi="Calibri" w:eastAsia="Calibri" w:cs="Times New Roman"/>
      <w:b/>
      <w:lang w:eastAsia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f1235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f12358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123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LibreOffice/6.4.4.2$Windows_X86_64 LibreOffice_project/3d775be2011f3886db32dfd395a6a6d1ca2630ff</Application>
  <Pages>2</Pages>
  <Words>472</Words>
  <Characters>2647</Characters>
  <CharactersWithSpaces>3098</CharactersWithSpaces>
  <Paragraphs>19</Paragraphs>
  <Company>MŠMT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2020-07-18T10:52:00Z</dcterms:created>
  <dc:creator>Šťastná Michaela</dc:creator>
  <dc:description/>
  <dc:language>cs-CZ</dc:language>
  <cp:lastModifiedBy>Seidel Antonín</cp:lastModifiedBy>
  <dcterms:modified xsi:type="dcterms:W3CDTF">2020-07-20T09:23:00Z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MŠMT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