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III.</w:t>
      </w:r>
    </w:p>
    <w:p>
      <w:pPr>
        <w:pStyle w:val="Normal"/>
        <w:jc w:val="center"/>
        <w:rPr/>
      </w:pPr>
      <w:r>
        <w:rPr>
          <w:rFonts w:eastAsia="Times New Roman" w:cs="Times New Roman"/>
        </w:rPr>
        <w:t>Návrh</w:t>
      </w:r>
      <w:bookmarkStart w:id="0" w:name="_GoBack"/>
      <w:bookmarkEnd w:id="0"/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caps/>
          <w:szCs w:val="24"/>
        </w:rPr>
        <w:t>zákon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ze dne………………2022,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Cs w:val="24"/>
        </w:rPr>
        <w:t>kterým se mění zákon č. 67/2022 Sb., o opatřeních v oblasti školství v souvislosti s ozbrojeným konfliktem na území Ukrajiny vyvolaným invazí vojsk Ruské federace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>Parlament se usnesl na tomto zákoně České republiky: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>Čl. I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</w:rPr>
        <w:t>Zákon č. 67/2022 Sb., o opatřeních v oblasti školství v souvislosti s ozbrojeným konfliktem na území Ukrajiny vyvolaným invazí vojsk Ruské federace</w:t>
      </w:r>
      <w:r>
        <w:rPr>
          <w:rFonts w:eastAsia="Times New Roman" w:cs="Times New Roman"/>
          <w:szCs w:val="24"/>
        </w:rPr>
        <w:t>, ve znění zákona č. ..../2022 Sb.</w:t>
      </w:r>
      <w:r>
        <w:rPr>
          <w:rFonts w:eastAsia="Times New Roman" w:cs="Times New Roman"/>
        </w:rPr>
        <w:t>, se mění takto:</w:t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</w:rPr>
      </w:pPr>
      <w:r>
        <w:rPr>
          <w:rFonts w:eastAsia="Times New Roman" w:cs="Times New Roman"/>
        </w:rPr>
        <w:t>V § 2 odst. 3 se na konci textu věty první doplňují slova „(dále jen „ministerstvo“)“.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  <w:szCs w:val="24"/>
        </w:rPr>
      </w:pPr>
      <w:r>
        <w:rPr>
          <w:rFonts w:eastAsia="Times New Roman" w:cs="Times New Roman"/>
          <w:szCs w:val="24"/>
        </w:rPr>
        <w:t>V § 2 odst. 3 větě druhé se slova „školství, mládeže a tělovýchovy“ zrušují.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</w:rPr>
      </w:pPr>
      <w:r>
        <w:rPr>
          <w:rFonts w:eastAsia="Times New Roman" w:cs="Times New Roman"/>
        </w:rPr>
        <w:t>Za § 2a se vkládají nové § 2b a 2c, které včetně nadpisů znějí: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§ 2b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Cs w:val="24"/>
        </w:rPr>
        <w:t>Lhůta k zahájení povinné školní docházky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</w:rPr>
        <w:t xml:space="preserve">Cizinec je povinen zahájit povinnou školní docházku nebo povinné předškolní vzdělávání nejpozději do 90 dnů ode dne poskytnutí dočasné ochrany. 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>§ 2c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Cs w:val="24"/>
        </w:rPr>
        <w:t>Postup při vyřazení ze školy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</w:rPr>
        <w:t>Pokud se cizinec plnící povinnou školní docházku neúčastní vyučování v základní škole nebo střední škole, vzdělávání v přípravné třídě základní školy nebo povinného předškolního vzdělávání v mateřské škole nepřetržitě po dobu nejméně 20 vyučovacích dnů, nedoloží důvody své nepřítomnosti v souladu s podmínkami stanovenými školním řádem a ani po následné písemné výzvě ředitele školy zaslané na poslední známou adresu zákonného zástupce cizince ve lhůtě 15 dnů ode dne odeslání výzvy nesdělí, že bude i nadále navštěvovat danou školu, přestává být dnem následujícím po uplynutí této lhůty dítětem vzdělávajícím se v mateřské škole nebo v přípravné třídě nebo žákem školy.“.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  <w:szCs w:val="24"/>
        </w:rPr>
      </w:pPr>
      <w:r>
        <w:rPr>
          <w:rFonts w:eastAsia="Times New Roman" w:cs="Times New Roman"/>
          <w:szCs w:val="24"/>
        </w:rPr>
        <w:t>Za § 3 se vkládá nový § 3a, který včetně nadpisu zní: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§ 3a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Cs w:val="24"/>
        </w:rPr>
        <w:t>Zařazování cizinců do tříd a oddělení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</w:rPr>
        <w:t>(1) Ředitel mateřské, základní nebo střední školy, konzervatoře nebo školní družiny zařazuje děti, žáky nebo účastníky cizince přednostně do tříd nebo oddělení nesložených výhradně z cizinců.</w:t>
      </w:r>
    </w:p>
    <w:p>
      <w:pPr>
        <w:pStyle w:val="Normal"/>
        <w:rPr>
          <w:rFonts w:eastAsia="Times New Roman" w:cs="Times New Roman"/>
        </w:rPr>
      </w:pPr>
      <w:r>
        <w:rPr/>
        <w:br/>
      </w:r>
      <w:r>
        <w:rPr>
          <w:rFonts w:eastAsia="Times New Roman" w:cs="Times New Roman"/>
        </w:rPr>
        <w:t>(2) Zřídit třídu nebo oddělení složené výhradně z cizinců lze v mateřské, základní nebo střední škole, konzervatoři nebo školní družině pouze v případě, že není jiné uspořádání z organizačních nebo personálních důvodů možné.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>
          <w:rFonts w:eastAsia="Times New Roman" w:cs="Times New Roman"/>
        </w:rPr>
        <w:t>(3) Ředitel mateřské, základní nebo střední školy, konzervatoře nebo školní družiny je povinen zajistit postupné zapojování cizinců do vzdělávání ve třídách, skupinách nebo odděleních nesložených výhradně z cizinců.</w:t>
      </w:r>
    </w:p>
    <w:p>
      <w:pPr>
        <w:pStyle w:val="Normal"/>
        <w:rPr/>
      </w:pPr>
      <w:r>
        <w:rPr/>
        <w:br/>
      </w:r>
      <w:r>
        <w:rPr>
          <w:rFonts w:eastAsia="Times New Roman" w:cs="Times New Roman"/>
        </w:rPr>
        <w:t>(4) Pokud jsou třída nebo oddělení podle odstavce 2 zřízeny, ředitel školy tyto cizince zařadí do tříd nebo oddělení nesložených výhradně z cizinců, jakmile to bude organizačně a personálně možné.“.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  <w:szCs w:val="24"/>
        </w:rPr>
      </w:pPr>
      <w:r>
        <w:rPr>
          <w:rFonts w:eastAsia="Times New Roman" w:cs="Times New Roman"/>
          <w:szCs w:val="24"/>
        </w:rPr>
        <w:t>Za § 5 se vkládá nový § 5a, který včetně nadpisu zní: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§ 5a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Cs w:val="24"/>
        </w:rPr>
        <w:t>Zvláštní pravidla k termínům, lhůtám, přijímání ke vzdělávání a ukončování vzdělávání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>(1) Ke zmírnění následků hromadného přílivu vysídlených osob v souvislosti s ozbrojeným konfliktem na území Ukrajiny vyvolaným invazí vojsk Ruské federace může ministerstvo určit opatřením obecné povahy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>a) odlišné termíny nebo lhůty od termínů nebo lhůt stanovených školským zákonem nebo prováděcími právními předpisy, anebo stanovené na jejich základě, pokud jejich naplnění není možné nebo by způsobilo nezanedbatelné obtíže,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</w:rPr>
        <w:t>b) odlišný způsob nebo podmínky přijímání ke vzdělávání nebo ukončování vzdělávání, pokud by postup podle školského zákona nebyl možný nebo by způsobil nezanedbatelné obtíže.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</w:rPr>
        <w:t>(2) Opatření obecné povahy musí být vydáno v souladu se zásadami a cíli vzdělávání uvedenými v § 2 školského zákona.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(3) Opatření obecné povahy se vydává bez řízení o návrhu opatření obecné povahy. Opatření obecné povahy ministerstvo oznámí vyvěšením na své úřední desce a zveřejní způsobem umožňujícím dálkový přístup na dobu nejméně 15 dnů. Opatření obecné povahy nabývá účinnosti dnem vyvěšení na úřední desce nebo pozdějším dnem, který je v něm uveden. Pokud se změnily důvody pro vydání opatření obecné povahy, ministerstvo jej bezodkladně zruší nebo změní.“. 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</w:rPr>
      </w:pPr>
      <w:r>
        <w:rPr>
          <w:rFonts w:eastAsia="Times New Roman" w:cs="Times New Roman"/>
        </w:rPr>
        <w:t>V § 6 se za odstavec 1 vkládá nový odstavec 2, který zní: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</w:rPr>
        <w:t>„</w:t>
      </w:r>
      <w:r>
        <w:rPr>
          <w:rFonts w:eastAsia="Times New Roman" w:cs="Times New Roman"/>
        </w:rPr>
        <w:t>(2) Právnická osoba vykonávající činnost školy nebo školského zařízení pro zájmové vzdělávání může vzdělávání cizinců zajišťovat také asistentem pedagoga, který nesplňuje předpoklad prokázání znalosti českého jazyka podle § 3 odst. 1 písm. e) zákona o pedagogických pracovnících a který má znalost ukrajinského jazyka na úrovni rodilého mluvčího a znalost českého jazyka v rozsahu nezbytném pro výkon dané práce. Znalost českého jazyka v rozsahu nezbytném pro výkon dané práce ověří ředitel školy nebo školského zařízení pro zájmové vzdělávání rozhovorem.“.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>Dosavadní odstavec 2 se označuje jako odstavec 3.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  <w:szCs w:val="24"/>
        </w:rPr>
      </w:pPr>
      <w:r>
        <w:rPr>
          <w:rFonts w:eastAsia="Times New Roman" w:cs="Times New Roman"/>
          <w:szCs w:val="24"/>
        </w:rPr>
        <w:t>V § 6 odst. 3 se slova „podle odstavce 1“ nahrazují slovy „, který se podílí na vzdělávání cizinců,“.</w:t>
      </w:r>
    </w:p>
    <w:p>
      <w:pPr>
        <w:pStyle w:val="Normal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 w:asciiTheme="minorHAnsi" w:hAnsiTheme="minorHAnsi"/>
          <w:szCs w:val="24"/>
        </w:rPr>
      </w:pPr>
      <w:r>
        <w:rPr>
          <w:rFonts w:eastAsia="Times New Roman" w:cs="Times New Roman"/>
          <w:szCs w:val="24"/>
        </w:rPr>
        <w:t>V § 10 odst. 2 se slova „31. března 2023, s výjimkou ustanovení § 6, které pozbývá platnosti uplynutím dne 31. srpna 2022“ nahrazují slovy „31. srpna 2023“.</w:t>
      </w:r>
    </w:p>
    <w:p>
      <w:pPr>
        <w:pStyle w:val="Normal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>Čl. II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Cs w:val="24"/>
        </w:rPr>
        <w:t>Účinnost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 w:cs="Times New Roman"/>
          <w:szCs w:val="24"/>
        </w:rPr>
        <w:t>Tento zákon nabývá účinnosti dnem jeho vyhlášení.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16518610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c0f7a"/>
    <w:pPr>
      <w:widowControl/>
      <w:bidi w:val="0"/>
      <w:spacing w:lineRule="auto" w:line="240" w:before="0" w:after="0"/>
      <w:jc w:val="both"/>
    </w:pPr>
    <w:rPr>
      <w:rFonts w:ascii="Times New Roman" w:hAnsi="Times New Roman" w:eastAsia="游明朝" w:eastAsiaTheme="minorEastAsia" w:cs="Arial"/>
      <w:color w:val="auto"/>
      <w:kern w:val="0"/>
      <w:sz w:val="24"/>
      <w:szCs w:val="22"/>
      <w:lang w:eastAsia="cs-CZ" w:val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870aa1"/>
    <w:pPr>
      <w:keepNext w:val="true"/>
      <w:keepLines/>
      <w:spacing w:before="240" w:after="0"/>
      <w:outlineLvl w:val="0"/>
    </w:pPr>
    <w:rPr>
      <w:rFonts w:ascii="Calibri Light" w:hAnsi="Calibri Light" w:eastAsia="游ゴシック Light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2b4e26"/>
    <w:pPr>
      <w:keepNext w:val="true"/>
      <w:keepLines/>
      <w:spacing w:before="40" w:after="0"/>
      <w:outlineLvl w:val="2"/>
    </w:pPr>
    <w:rPr>
      <w:rFonts w:ascii="Calibri Light" w:hAnsi="Calibri Light" w:eastAsia="游ゴシック Light" w:cs="Times New Roman" w:asciiTheme="majorHAnsi" w:cstheme="majorBidi" w:eastAsiaTheme="majorEastAsia" w:hAnsiTheme="majorHAnsi"/>
      <w:color w:val="1F3763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870aa1"/>
    <w:rPr>
      <w:rFonts w:ascii="Calibri Light" w:hAnsi="Calibri Light" w:eastAsia="游ゴシック Light" w:cs="Times New Roman" w:asciiTheme="majorHAnsi" w:cstheme="majorBidi" w:eastAsiaTheme="majorEastAsia" w:hAnsiTheme="majorHAnsi"/>
      <w:color w:val="2F5496" w:themeColor="accent1" w:themeShade="bf"/>
      <w:sz w:val="32"/>
      <w:szCs w:val="32"/>
      <w:lang w:eastAsia="cs-CZ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b4e2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2b4e26"/>
    <w:rPr>
      <w:rFonts w:ascii="Times New Roman" w:hAnsi="Times New Roman" w:eastAsia="游明朝" w:eastAsiaTheme="minorEastAsia"/>
      <w:sz w:val="20"/>
      <w:szCs w:val="20"/>
      <w:lang w:eastAsia="cs-CZ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2b4e26"/>
    <w:rPr>
      <w:rFonts w:ascii="Times New Roman" w:hAnsi="Times New Roman" w:eastAsia="游明朝" w:eastAsiaTheme="minorEastAsia"/>
      <w:b/>
      <w:bCs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b4e26"/>
    <w:rPr>
      <w:rFonts w:ascii="Segoe UI" w:hAnsi="Segoe UI" w:eastAsia="游明朝" w:cs="Segoe UI" w:eastAsiaTheme="minorEastAsia"/>
      <w:sz w:val="18"/>
      <w:szCs w:val="18"/>
      <w:lang w:eastAsia="cs-CZ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2b4e26"/>
    <w:rPr>
      <w:rFonts w:ascii="Calibri Light" w:hAnsi="Calibri Light" w:eastAsia="游ゴシック Light" w:cs="Times New Roman" w:asciiTheme="majorHAnsi" w:cstheme="majorBidi" w:eastAsiaTheme="majorEastAsia" w:hAnsiTheme="majorHAnsi"/>
      <w:color w:val="1F3763" w:themeColor="accent1" w:themeShade="7f"/>
      <w:sz w:val="24"/>
      <w:szCs w:val="24"/>
      <w:lang w:eastAsia="cs-CZ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8d353c"/>
    <w:rPr>
      <w:rFonts w:ascii="Times New Roman" w:hAnsi="Times New Roman" w:eastAsia="游明朝" w:eastAsiaTheme="minorEastAsia"/>
      <w:sz w:val="20"/>
      <w:szCs w:val="20"/>
      <w:lang w:eastAsia="cs-CZ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d353c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b41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13be"/>
    <w:rPr>
      <w:color w:val="605E5C"/>
      <w:shd w:fill="E1DFDD" w:val="clear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7301fa"/>
    <w:rPr>
      <w:rFonts w:ascii="Times New Roman" w:hAnsi="Times New Roman" w:eastAsia="游明朝" w:eastAsiaTheme="minorEastAsia"/>
      <w:sz w:val="24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7301fa"/>
    <w:rPr>
      <w:rFonts w:ascii="Times New Roman" w:hAnsi="Times New Roman" w:eastAsia="游明朝" w:eastAsiaTheme="minorEastAsia"/>
      <w:sz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822fd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b4e2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b4e26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b4e26"/>
    <w:pPr/>
    <w:rPr>
      <w:rFonts w:ascii="Segoe UI" w:hAnsi="Segoe UI" w:cs="Segoe UI"/>
      <w:sz w:val="18"/>
      <w:szCs w:val="18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8d353c"/>
    <w:pPr/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301f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7301f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6" ma:contentTypeDescription="Vytvoří nový dokument" ma:contentTypeScope="" ma:versionID="8df34d8fce276b7caf4c6104760d6efd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96d85c5f4f9cd5bb0d8e786782330cfa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7ECD-388B-42A5-AF05-6D563CC826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98648-FAE9-4139-AAF4-DA90A4EC2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B17FC-6C38-4F5E-B356-C8BFD766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472F2-2496-47D0-832F-948641DD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3</Pages>
  <Words>747</Words>
  <Characters>4104</Characters>
  <CharactersWithSpaces>4839</CharactersWithSpaces>
  <Paragraphs>77</Paragraphs>
  <Company>MŠMT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2022-05-31T14:15:00Z</dcterms:created>
  <dc:creator>Fiala Jan</dc:creator>
  <dc:description/>
  <dc:language>cs-CZ</dc:language>
  <cp:lastModifiedBy>Fiala Jan</cp:lastModifiedBy>
  <dcterms:modified xsi:type="dcterms:W3CDTF">2022-06-01T08:00:00Z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0x010100BBEC522E4FA19C43A3E949954DE42ED5</vt:lpwstr>
  </property>
</Properties>
</file>