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60"/>
        <w:contextualSpacing/>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p>
      <w:pPr>
        <w:pStyle w:val="Normal"/>
        <w:tabs>
          <w:tab w:val="clear" w:pos="708"/>
          <w:tab w:val="left" w:pos="3870" w:leader="none"/>
          <w:tab w:val="center" w:pos="4513" w:leader="none"/>
        </w:tabs>
        <w:spacing w:lineRule="auto" w:line="240" w:before="0" w:after="160"/>
        <w:contextualSpacing/>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V l á d n í   n á v r h</w:t>
      </w:r>
    </w:p>
    <w:p>
      <w:pPr>
        <w:pStyle w:val="Normal"/>
        <w:spacing w:lineRule="auto" w:line="240" w:before="0" w:after="160"/>
        <w:contextualSpacing/>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contextualSpacing/>
        <w:jc w:val="center"/>
        <w:rPr>
          <w:rFonts w:ascii="Times New Roman" w:hAnsi="Times New Roman" w:eastAsia="Times New Roman" w:cs="Times New Roman"/>
          <w:b/>
          <w:bCs/>
          <w:caps/>
          <w:sz w:val="24"/>
          <w:szCs w:val="24"/>
        </w:rPr>
      </w:pPr>
      <w:r>
        <w:rPr>
          <w:rFonts w:eastAsia="Times New Roman" w:cs="Times New Roman" w:ascii="Times New Roman" w:hAnsi="Times New Roman"/>
          <w:b/>
          <w:bCs/>
          <w:caps/>
          <w:sz w:val="24"/>
          <w:szCs w:val="24"/>
        </w:rPr>
        <w:t>zákon</w:t>
      </w:r>
    </w:p>
    <w:p>
      <w:pPr>
        <w:pStyle w:val="Normal"/>
        <w:spacing w:lineRule="auto" w:line="240" w:before="0" w:after="160"/>
        <w:contextualSpacing/>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160"/>
        <w:contextualSpacing/>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ze dne ……………… 2026,</w:t>
      </w:r>
    </w:p>
    <w:p>
      <w:pPr>
        <w:pStyle w:val="Normal"/>
        <w:tabs>
          <w:tab w:val="clear" w:pos="708"/>
          <w:tab w:val="left" w:pos="9356" w:leader="none"/>
        </w:tabs>
        <w:spacing w:lineRule="auto" w:line="240" w:before="0" w:after="160"/>
        <w:contextualSpacing/>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tabs>
          <w:tab w:val="clear" w:pos="708"/>
          <w:tab w:val="left" w:pos="9356" w:leader="none"/>
        </w:tabs>
        <w:spacing w:lineRule="auto" w:line="240" w:before="0" w:after="160"/>
        <w:contextualSpacing/>
        <w:jc w:val="center"/>
        <w:rPr>
          <w:rFonts w:ascii="Times New Roman" w:hAnsi="Times New Roman" w:eastAsia="Times New Roman" w:cs="Times New Roman"/>
          <w:b/>
          <w:sz w:val="24"/>
          <w:szCs w:val="24"/>
        </w:rPr>
      </w:pPr>
      <w:r>
        <w:rPr>
          <w:rFonts w:eastAsia="Times New Roman" w:cs="Times New Roman" w:ascii="Times New Roman" w:hAnsi="Times New Roman"/>
          <w:b/>
          <w:bCs/>
          <w:sz w:val="24"/>
          <w:szCs w:val="24"/>
        </w:rPr>
        <w:t xml:space="preserve">kterým se mění zákon č. 561/2004 Sb., o předškolním, základním, středním, vyšším odborném a jiném vzdělávání (školský zákon), ve znění pozdějších předpisů, a </w:t>
      </w:r>
      <w:r>
        <w:rPr>
          <w:rFonts w:eastAsia="Times New Roman" w:cs="Times New Roman" w:ascii="Times New Roman" w:hAnsi="Times New Roman"/>
          <w:b/>
          <w:bCs/>
          <w:color w:themeColor="text1" w:val="000000"/>
          <w:sz w:val="24"/>
          <w:szCs w:val="24"/>
        </w:rPr>
        <w:t>další související zákony</w:t>
      </w:r>
    </w:p>
    <w:p>
      <w:pPr>
        <w:pStyle w:val="Normal"/>
        <w:spacing w:lineRule="auto" w:line="240" w:before="0" w:after="16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p>
      <w:pPr>
        <w:pStyle w:val="Normal"/>
        <w:spacing w:lineRule="auto" w:line="240" w:before="0" w:after="16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Parlament se usnesl na tomto zákoně České republiky:</w:t>
      </w:r>
    </w:p>
    <w:p>
      <w:pPr>
        <w:pStyle w:val="Normal"/>
        <w:spacing w:lineRule="auto" w:line="240" w:before="0" w:after="160"/>
        <w:contextualSpacing/>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ČÁST PRVNÍ</w:t>
      </w:r>
    </w:p>
    <w:p>
      <w:pPr>
        <w:pStyle w:val="Normal"/>
        <w:spacing w:lineRule="auto" w:line="240" w:before="0" w:after="24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Změna školského zákona</w:t>
      </w:r>
    </w:p>
    <w:p>
      <w:pPr>
        <w:pStyle w:val="Normal"/>
        <w:spacing w:lineRule="auto" w:line="240" w:before="0" w:after="24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Čl. I</w:t>
      </w:r>
    </w:p>
    <w:p>
      <w:pPr>
        <w:pStyle w:val="Normal"/>
        <w:spacing w:lineRule="auto" w:line="240" w:before="0" w:after="240"/>
        <w:contextualSpacing/>
        <w:jc w:val="both"/>
        <w:rPr>
          <w:rFonts w:ascii="Times New Roman" w:hAnsi="Times New Roman" w:eastAsia="Times New Roman" w:cs="Times New Roman"/>
          <w:sz w:val="24"/>
          <w:szCs w:val="24"/>
        </w:rPr>
      </w:pPr>
      <w:r>
        <w:rPr/>
        <w:tab/>
      </w:r>
      <w:r>
        <w:rPr>
          <w:rFonts w:eastAsia="Times New Roman" w:cs="Times New Roman" w:ascii="Times New Roman" w:hAnsi="Times New Roman"/>
          <w:sz w:val="24"/>
          <w:szCs w:val="24"/>
        </w:rPr>
        <w:t>Zákon č. 561/2004 Sb., o předškolním, základním, středním, vyšším odborném a jiném vzdělávání (školský zákon), ve znění zákona č. 383/2005 Sb., zákona č. 112/2006 Sb., zákona č. 158/2006 Sb., zákona č. 161/2006 Sb., zákona č. 165/2006 Sb., zákona č. 179/2006 Sb., zákona č. 342/2006 Sb., zákona č. 624/2006 Sb., zákona č. 217/2007 Sb., zákona č. 296/2007 Sb., zákona č. 343/2007 Sb., zákona č. 58/2008 Sb., zákona č. 126/2008 Sb., zákona č. 189/2008 Sb., zákona č. 242/2008 Sb., zákona č. 243/2008 Sb., zákona č. 306/2008 Sb., zákona č. 384/2008 Sb., zákona č. 49/2009 Sb., zákona č. 227/2009 Sb., zákona č. 378/2009 Sb., zákona č. 427/2010 Sb., zákona č. 73/2011 Sb., zákona č. 331/2011 Sb., zákona č. 375/2011 Sb., zákona č. 420/2011 Sb., zákona č. 472/2011 Sb., zákona č. 53/2012 Sb., zákona č. 333/2012 Sb., zákona č. 370/2012 Sb., zákona č. 241/2013 Sb., zákonného opatření Senátu č. 344/2013 Sb., zákona č. 64/2014 Sb., zákona č. 250/2014 Sb., zákona č. 82/2015 Sb., zákona č. 178/2016 Sb., zákona č. 230/2016 Sb., zákona č. 101/2017 Sb., zákona č. 222/2017 Sb., zákona č. 167/2018 Sb., zákona č. 46/2019 Sb., zákona č. 284/2020 Sb., zákona č. 349/2020 Sb., zákona č. 403/2020 Sb., zákona č. 94/2021 Sb., zákona č. 261/2021 Sb., zákona č. 152/2023 Sb., zákona č. 183/2023 Sb., zákona č. 349/2023 Sb., zákona č. 421/2023 Sb., zákona č. 35/2025 Sb., zákona č. 52/2025 Sb., zákona č. 152/2025 Sb., zákona č. 232/2025 Sb., zákona č. 239/2025 Sb., zákona č. 267/2025 Sb., zákona č. 268/2025 Sb., zákona č. 314/2025 Sb. a zákona č. …/2026 Sb., se mění takto:</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cs="Times New Roman" w:ascii="Times New Roman" w:hAnsi="Times New Roman"/>
          <w:sz w:val="24"/>
          <w:szCs w:val="24"/>
        </w:rPr>
        <w:t>V § 16 se odstavce 11 a 12 zrušují.</w:t>
      </w:r>
    </w:p>
    <w:p>
      <w:pPr>
        <w:pStyle w:val="ListParagraph"/>
        <w:numPr>
          <w:ilvl w:val="0"/>
          <w:numId w:val="1"/>
        </w:numP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16a odst. 2 se slova „doporučí škola nebo školské zařízení jeho zákonnému zástupci“ nahrazují slovy „vyzve škola nebo školské zařízení jeho zákonného zástupce“.</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16b se za odstavec 1 vkládá nový odstavec 2, který zní:</w:t>
      </w:r>
    </w:p>
    <w:p>
      <w:pPr>
        <w:pStyle w:val="Normal"/>
        <w:spacing w:lineRule="auto" w:line="240" w:before="0" w:after="120"/>
        <w:ind w:start="357"/>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(2) Revizi zprávy nebo doporučení může právnická osoba podle odstavce 1 věty první provést i bez žádosti, pokud je pochybnost o jejich správnosti, nebo jsou nejasné nebo neúplné.“.</w:t>
      </w:r>
    </w:p>
    <w:p>
      <w:pPr>
        <w:pStyle w:val="Normal"/>
        <w:spacing w:lineRule="auto" w:line="240" w:before="0" w:after="120"/>
        <w:ind w:start="357"/>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Dosavadní odstavce 2 až 4 se označují jako odstavec 3 až 5.</w:t>
      </w:r>
    </w:p>
    <w:p>
      <w:pPr>
        <w:pStyle w:val="Normal"/>
        <w:spacing w:lineRule="auto" w:line="240" w:before="0" w:after="120"/>
        <w:ind w:start="357"/>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16b odst. 3 se věta poslední nahrazuje větou „Škola nebo školské poradenské zařízení poskytne právnické osobě podle odstavce 1 při provádění revize součinnost.“.</w:t>
      </w:r>
    </w:p>
    <w:p>
      <w:pPr>
        <w:pStyle w:val="ListParagraph"/>
        <w:numPr>
          <w:ilvl w:val="0"/>
          <w:numId w:val="1"/>
        </w:numPr>
        <w:spacing w:lineRule="auto" w:line="240" w:before="0" w:after="12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16b odstavec 4 zní:</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 xml:space="preserve">(4) Právnická osoba podle odstavce 1 vydá o výsledku posouzení do 60 dnů ode dne obdržení žádosti o revizi nebo ode dne, kdy </w:t>
      </w:r>
      <w:r>
        <w:rPr>
          <w:rFonts w:eastAsia="Times New Roman" w:cs="Times New Roman" w:ascii="Times New Roman" w:hAnsi="Times New Roman"/>
          <w:sz w:val="24"/>
          <w:szCs w:val="24"/>
          <w:lang w:eastAsia="cs-CZ"/>
        </w:rPr>
        <w:t>zahájila posuzování podle odstavce 2</w:t>
      </w:r>
      <w:r>
        <w:rPr>
          <w:rFonts w:eastAsia="Times New Roman" w:cs="Times New Roman" w:ascii="Times New Roman" w:hAnsi="Times New Roman"/>
          <w:color w:themeColor="text1" w:val="000000"/>
          <w:sz w:val="24"/>
          <w:szCs w:val="24"/>
        </w:rPr>
        <w:t>, revizní zprávu, která obsahuje závěry posouzení a případně</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 novou zprávu nebo doporučení podpůrných opatření, které nahrazuje revidovanou zprávu nebo doporučení, nebo</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b) závazný pokyn k dalšímu postupu školského poradenského zařízení nebo stanovení lhůty, dokdy je nezbytné vydat novou zprávu nebo doporučení; uplynutím této lhůty skončí platnost původního doporučení.“.</w:t>
      </w:r>
    </w:p>
    <w:p>
      <w:pPr>
        <w:pStyle w:val="ListParagraph"/>
        <w:numPr>
          <w:ilvl w:val="0"/>
          <w:numId w:val="1"/>
        </w:numPr>
        <w:spacing w:lineRule="auto" w:line="240" w:before="0" w:after="12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16b se za odstavec 4 vkládá nový odstavec 5, který zní:</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(5) Revizní zpráva se zasílá dítěti, žákovi, studentovi nebo zákonnému zástupci dítěte nebo žáka, příslušnému školskému poradenskému zařízení, a s vyloučením údajů, které jsou pouze obsahem zprávy podle § 16a odst. 3, také škole nebo školskému zařízení. V případě, že orgán sociálně-právní ochrany dětí žádal školské poradenské zařízení podle § 16a odst. 4 o poskytnutí doporučení, zašle školské poradenské zařízení tomuto orgánu také revizní zprávu v rozsahu týkajícím se poskytnutého doporučení.“.</w:t>
      </w:r>
    </w:p>
    <w:p>
      <w:pPr>
        <w:pStyle w:val="Normal"/>
        <w:spacing w:lineRule="auto" w:line="240" w:before="0" w:after="120"/>
        <w:ind w:firstLine="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Dosavadní odstavec 5 se označuje jako odstavec 6.</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Za § 18 se vkládají nové § 18a a 18b, které včetně nadpisu znějí:</w:t>
      </w:r>
    </w:p>
    <w:p>
      <w:pPr>
        <w:pStyle w:val="ListParagraph"/>
        <w:spacing w:lineRule="auto" w:line="240" w:before="0" w:after="120"/>
        <w:ind w:start="357"/>
        <w:contextualSpacing w:val="false"/>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b/>
          <w:bCs/>
          <w:color w:themeColor="text1" w:val="000000"/>
          <w:sz w:val="24"/>
          <w:szCs w:val="24"/>
        </w:rPr>
        <w:t>Pravidla výkonu činnosti některých podpůrných pedagogických pracovníků</w:t>
      </w:r>
    </w:p>
    <w:p>
      <w:pPr>
        <w:pStyle w:val="ListParagraph"/>
        <w:spacing w:lineRule="auto" w:line="240" w:before="0" w:after="0"/>
        <w:ind w:start="357"/>
        <w:contextualSpacing w:val="false"/>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18a</w:t>
      </w:r>
    </w:p>
    <w:p>
      <w:pPr>
        <w:pStyle w:val="Normal"/>
        <w:spacing w:lineRule="auto" w:line="240" w:before="0" w:after="120"/>
        <w:ind w:start="357"/>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 Podpůrné opatření podle § 16 odst. 2 písm. h) spočívající ve využití psychologa nebo speciálního pedagoga nelze poskytovat žákovi základní školy zřizované krajem, obcí nebo svazkem obcí, která má nárok na financování činnosti psychologa, speciálního pedagoga nebo sociálního pedagoga ze státního rozpočtu na základě nařízení vlády vydaného podle § 161 odst. 3 nebo 4, a žákovi srovnatelné základní školy, která není zřizována krajem, obcí nebo svazkem obcí. Srovnatelnou základní školou podle věty první se rozumí základní škola, která by jinak splňovala podmínky, za kterých přísluší financování činnosti psychologa, speciálního pedagoga nebo sociálního pedagoga stanovené podle § 161 odst. 3; k navýšení podle § 161 odst. 4 se nepřihlíží.</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 Práci psychologa nebo speciálního pedagoga v základní škole zřizované krajem, obcí  nebo svazkem obcí uvedené v odstavci 1 zajistí ředitel základní školy až do výše maximálního týdenního počtu hodin přímé pedagogické činnosti odpovídající nároku na financování činnosti psychologa, speciálního pedagoga nebo sociálního pedagoga ze státního rozpočtu na základě nařízení vlády vydaného podle § 161 odst. 3, je-li to vzhledem k vzdělávacím potřebám žáků důvodné; k navýšení podle § 161 odst. 4 se nepřihlíží. Pro ředitele srovnatelné základní školy, která není zřizována krajem, obcí nebo svazkem obcí, platí povinnost podle věty první obdobně.</w:t>
      </w:r>
    </w:p>
    <w:p>
      <w:pPr>
        <w:pStyle w:val="ListParagraph"/>
        <w:spacing w:lineRule="auto" w:line="240" w:before="0" w:after="0"/>
        <w:ind w:start="357"/>
        <w:contextualSpacing w:val="false"/>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18b</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(1) Podpůrné opatření podle § 16 odst. 2 písm. g) spočívající ve využití asistenta pedagoga nelze poskytovat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w:t>
        <w:tab/>
        <w:t xml:space="preserve">dítěti mateřské školy zřízené podle § 16 odst. 9 nebo třídy zřízené podle § 16 odst. 9 v mateřské škole,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b)</w:t>
        <w:tab/>
        <w:t xml:space="preserve">dítěti třídy přípravného stupně základní školy speciální,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c)</w:t>
        <w:tab/>
        <w:t xml:space="preserve">žákovi základní školy,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d)</w:t>
        <w:tab/>
        <w:t>žákovi oboru vzdělání praktická škola jednoletá nebo praktická škola dvouletá,</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e)</w:t>
        <w:tab/>
        <w:t xml:space="preserve">žákovi školy při školském zařízení pro výkon ústavní výchovy nebo ochranné výchovy, nebo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f)</w:t>
        <w:tab/>
        <w:t xml:space="preserve">účastníkovi školní družiny. </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(2) Práci asistenta pedagoga ve škole nebo školském zařízení uvedených v odstavci 1 </w:t>
        <w:br/>
        <w:t xml:space="preserve">a zřizovaných krajem, obcí nebo svazkem obcí zajistí ředitel školy nebo školského zařízení až do výše maximálního týdenního počtu hodin přímé pedagogické činnosti odpovídající nároku na financování činnosti asistenta pedagoga ze státního rozpočtu na základě nařízení vlády vydaného podle § 161 odst. 5 a prováděcího právního předpisu vydaného podle </w:t>
        <w:br/>
        <w:t>§ 161c odst. 2 písm. c), je-li to vzhledem k vzdělávacím potřebám dětí, žáků nebo účastníků důvodné. Pro ředitele školy nebo školského zařízení uvedených v odstavci 1, které nejsou zřizovány krajem, obcí nebo svazkem obcí, platí povinnost podle věty první obdobně.“.</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Nad § 19 se vkládá nadpis, který zní:</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b/>
          <w:bCs/>
          <w:color w:themeColor="text1" w:val="000000"/>
          <w:sz w:val="24"/>
          <w:szCs w:val="24"/>
        </w:rPr>
        <w:t>Zmocňovací ustanovení</w:t>
      </w:r>
      <w:r>
        <w:rPr>
          <w:rFonts w:eastAsia="Times New Roman" w:cs="Times New Roman" w:ascii="Times New Roman" w:hAnsi="Times New Roman"/>
          <w:color w:themeColor="text1" w:val="000000"/>
          <w:sz w:val="24"/>
          <w:szCs w:val="24"/>
        </w:rPr>
        <w:t>“.</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46 se odstavec 4 zrušuje.</w:t>
      </w:r>
    </w:p>
    <w:p>
      <w:pPr>
        <w:pStyle w:val="ListParagraph"/>
        <w:numPr>
          <w:ilvl w:val="0"/>
          <w:numId w:val="1"/>
        </w:numPr>
        <w:spacing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116 se na konci odstavce 3 doplňuje věta „Poradna zřizovaná krajem poskytuje služby poskytované na žádost dítěte, žáka, studenta nebo jejich zákonného zástupce přednostně dětem, žákům nebo studentům s místem trvalého pobytu, v případě cizinců s místem pobytu, ve spádovém obvodu této poradny podle odstavce 8 a dětem umístěným ve školském zařízení pro výkon ústavní výchovy nebo ochranné výchovy v tomto spádovém obvodu této poradny.“.</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116 se doplňuje odstavec 8, který zní:</w:t>
      </w:r>
    </w:p>
    <w:p>
      <w:pPr>
        <w:pStyle w:val="ListParagraph"/>
        <w:spacing w:lineRule="auto" w:line="240" w:before="0" w:after="120"/>
        <w:ind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(8) Kraj stanoví opatřením obecné povahy spádové obvody poraden podle odstavce 3, jejichž činnost vykonává právnická osoba zřizovaná tímto krajem. Spádové obvody poraden musejí být stanoveny tak, aby pokrývaly celé území kraje a navzájem se nepřekrývaly. Toto opatření obecné povahy se vydává bez řízení o návrhu opatření obecné povahy. Opatření obecné povahy kraj oznámí vyvěšením na své úřední desce a zveřejní způsobem umožňujícím dálkový přístup.“.</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120a odst. 3 se text „§ 16 odst. 11“ nahrazuje textem „§ 18a odst. 1“.</w:t>
      </w:r>
    </w:p>
    <w:p>
      <w:pPr>
        <w:pStyle w:val="ListParagraph"/>
        <w:numPr>
          <w:ilvl w:val="0"/>
          <w:numId w:val="1"/>
        </w:numPr>
        <w:spacing w:lineRule="auto" w:line="240" w:before="0" w:after="12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120a se doplňuje odstavec 4, který zní:</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 xml:space="preserve">(4) Ředitel základní školy, s výjimkou základních škol zřizovaných podle § 16 odst. 9, základních škol speciálních, základních škol zřizovaných při školských zařízeních pro výkon ústavní výchovy nebo ochranné výchovy a základních škol zřizovaných při zdravotnickém zařízení, ve které vykonávají přímou pedagogickou činnost alespoň </w:t>
        <w:br/>
        <w:t>3 asistenti pedagoga, má povinnost zabezpečit metodické vedení těchto asistentů pedagoga prostřednictvím metodika asistentů pedagoga podle zákona o pedagogických pracovnících.“.</w:t>
      </w:r>
    </w:p>
    <w:p>
      <w:pPr>
        <w:pStyle w:val="ListParagraph"/>
        <w:numPr>
          <w:ilvl w:val="0"/>
          <w:numId w:val="1"/>
        </w:numPr>
        <w:spacing w:lineRule="auto" w:line="240" w:before="0" w:after="12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161 se za odstavec 4 vkládá nový odstavec 5, který zní:</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(5) Vláda stanoví nařízením pro základní školy a střední školy s oborem vzdělání praktická škola jednoletá nebo praktická škola dvouletá zřizované krajem, obcí nebo svazkem obcí maximální počet hodin přímé pedagogické činnosti financovaný ze státního rozpočtu určený pro asistenta pedagoga, a to v závislosti na struktuře základní školy nebo střední školy s oborem vzdělání praktická škola jednoletá nebo praktická škola dvouletá.“.</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Dosavadní odstavce 5 až 10 se označují jako odstavce 6 až 11.</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 161 odst. 6 se slova „nebo sociálního pedagoga“ nahrazují slovy „, sociálního pedagoga nebo asistenta pedagoga“ a slova „odstavce 2 nebo 3“ se nahrazují slovy „odstavce 2, </w:t>
        <w:br/>
        <w:t>3 nebo 5“.</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161 odst. 8 se číslo „6“ nahrazuje číslem „7“, slova „odstavců 2 až 4“ se nahrazují slovy „odstavců 2 až 5“ a slova „a 5“ se nahrazují slovy „a 6“.</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 161 odst. 9 se číslo „6“ nahrazuje číslem „7“, číslo „10“ se nahrazuje číslem „11“ </w:t>
        <w:br/>
        <w:t>a číslo „9“ se nahrazuje číslem „10“.</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161 odst. 10 se číslo „8“ nahrazuje číslem „9“ a číslo „7“ se nahrazuje číslem „8“.</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161c odst. 2 se na konci textu písmene c) doplňují slova „</w:t>
      </w:r>
      <w:r>
        <w:rPr>
          <w:rFonts w:eastAsia="Times New Roman" w:cs="Times New Roman" w:ascii="Times New Roman" w:hAnsi="Times New Roman"/>
          <w:bCs/>
          <w:color w:themeColor="text1" w:val="000000"/>
          <w:sz w:val="24"/>
          <w:szCs w:val="24"/>
        </w:rPr>
        <w:t>, přičemž v mateřské škole zřízené podle § 16 odst. 9 nebo ve třídě zřízené podle § 16 odst. 9 v mateřské škole, ve školní družině a ve třídě přípravného stupně základní školy speciální určí maximální počty hodin přímé pedagogické činnosti také pro asistenta pedagoga“.</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 161c odst. 4 písm. a) se slova „§ 161 odst. 6, 7 a 10“ nahrazují slovy „§ 161 odst. 7, </w:t>
        <w:br/>
        <w:t>8 a 11“.</w:t>
      </w:r>
    </w:p>
    <w:p>
      <w:pPr>
        <w:pStyle w:val="ListParagraph"/>
        <w:numPr>
          <w:ilvl w:val="0"/>
          <w:numId w:val="1"/>
        </w:numPr>
        <w:spacing w:lineRule="auto" w:line="240" w:before="0" w:after="120"/>
        <w:ind w:hanging="357"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 161c odst. 4 písm. c) a v § 170 písm. b) se text „§ 161 odst. 8“ nahrazuje textem </w:t>
        <w:br/>
        <w:t>„§ 161 odst. 9“.</w:t>
      </w:r>
    </w:p>
    <w:p>
      <w:pPr>
        <w:pStyle w:val="ListParagraph"/>
        <w:numPr>
          <w:ilvl w:val="0"/>
          <w:numId w:val="1"/>
        </w:numPr>
        <w:spacing w:lineRule="auto" w:line="240" w:before="0" w:after="12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 180 odst. 1 a v § 182 odst. 1 se slova „§ 161 odst. 6 a 7“ nahrazují slovy </w:t>
        <w:br/>
        <w:t>„§ 161 odst. 7 a 8“.</w:t>
      </w:r>
    </w:p>
    <w:p>
      <w:pPr>
        <w:pStyle w:val="ListParagraph"/>
        <w:spacing w:lineRule="auto" w:line="240" w:before="0" w:after="12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before="0" w:after="12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Čl. II</w:t>
      </w:r>
    </w:p>
    <w:p>
      <w:pPr>
        <w:pStyle w:val="Normal"/>
        <w:spacing w:before="0" w:after="12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Přechodné ustanovení</w:t>
      </w:r>
    </w:p>
    <w:p>
      <w:pPr>
        <w:pStyle w:val="Normal"/>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Ustanovením § 116 odst. 3 věty druhé zákona č. 561/2004 Sb., ve znění účinném ode dne </w:t>
        <w:br/>
        <w:t>1. září 2028, není dotčeno poskytování školských služeb pedagogicko-psychologickou poradnou, které trvá ke dni 1. září 2028.</w:t>
      </w:r>
    </w:p>
    <w:p>
      <w:pPr>
        <w:pStyle w:val="Normal"/>
        <w:spacing w:lineRule="auto" w:line="240" w:before="0" w:after="12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40" w:before="0" w:after="12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ČÁST DRUHÁ</w:t>
      </w:r>
    </w:p>
    <w:p>
      <w:pPr>
        <w:pStyle w:val="Normal"/>
        <w:spacing w:lineRule="auto" w:line="240" w:before="0" w:after="2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Změna zákona o poskytování dotací soukromým školám, předškolním a školským zařízením</w:t>
      </w:r>
    </w:p>
    <w:p>
      <w:pPr>
        <w:pStyle w:val="Normal"/>
        <w:spacing w:lineRule="auto" w:line="240" w:before="0" w:after="2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Čl. III</w:t>
      </w:r>
    </w:p>
    <w:p>
      <w:pPr>
        <w:pStyle w:val="Normal"/>
        <w:spacing w:lineRule="auto" w:line="240" w:before="0" w:after="24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Zákon č. 306/1999 Sb., o poskytování dotací soukromým školám, předškolním a školským zařízením, ve znění zákona č. 132/2000 Sb., zákona č. 255/2001 Sb., zákona č. 16/2002 Sb., zákona č. 284/2002 Sb., zákona č. 562/2004 Sb., zákona č. 383/2005 Sb., zákona </w:t>
        <w:br/>
        <w:t>č. 179/2006 Sb., zákona č. 227/2009 Sb., zákona č. 82/2015 Sb. a zákona č. 267/2025 Sb., se mění takto:</w:t>
      </w:r>
    </w:p>
    <w:p>
      <w:pPr>
        <w:pStyle w:val="ListParagraph"/>
        <w:numPr>
          <w:ilvl w:val="0"/>
          <w:numId w:val="3"/>
        </w:numPr>
        <w:spacing w:lineRule="auto" w:line="240" w:before="0" w:after="120"/>
        <w:ind w:hanging="360"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4 odst. 1 se slova „odstavce 3“ nahrazují slovy „odstavců 4 a 5“.</w:t>
      </w:r>
    </w:p>
    <w:p>
      <w:pPr>
        <w:pStyle w:val="ListParagraph"/>
        <w:numPr>
          <w:ilvl w:val="0"/>
          <w:numId w:val="3"/>
        </w:numPr>
        <w:spacing w:lineRule="auto" w:line="240" w:before="0" w:after="120"/>
        <w:ind w:hanging="360"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4 odst. 2 se za slova „zákonných odvodů“ vkládají slova „, s výjimkou mzdových prostředků a zákonných odvodů rozhodných pro stanovení normativu podle odstavce 5,“.</w:t>
      </w:r>
    </w:p>
    <w:p>
      <w:pPr>
        <w:pStyle w:val="ListParagraph"/>
        <w:numPr>
          <w:ilvl w:val="0"/>
          <w:numId w:val="3"/>
        </w:numPr>
        <w:spacing w:lineRule="auto" w:line="240" w:before="0" w:after="120"/>
        <w:ind w:hanging="360"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4 se za odstavec 4 vkládají nové odstavce 5 a 6, které včetně poznámky pod čarou č. 13 znějí:</w:t>
      </w:r>
    </w:p>
    <w:p>
      <w:pPr>
        <w:pStyle w:val="ListParagraph"/>
        <w:spacing w:lineRule="auto" w:line="240" w:before="0" w:after="120"/>
        <w:ind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r>
        <w:rPr>
          <w:rFonts w:eastAsia="Times New Roman" w:cs="Times New Roman" w:ascii="Times New Roman" w:hAnsi="Times New Roman"/>
          <w:color w:themeColor="text1" w:val="000000"/>
          <w:sz w:val="24"/>
          <w:szCs w:val="24"/>
        </w:rPr>
        <w:t xml:space="preserve">(5) Dotace podle odstavce 1 nebo 2 se právnickým osobám vykonávajícím činnost základní školy, s výjimkou činnosti základní školy zřizované podle § 16 odst. 9 školského zákona, základní školy speciální, základní školy zřizované při školských zařízených pro výkon ústavní výchovy nebo ochranné výchovy a základní školy zřizované při zdravotnickém zařízení, nebo právnickým osobám vykonávajícím činnost školní družiny zvýší o procentní podíl z normativu jako ročního objemu mzdových prostředků a zákonných odvodů připadajících na jednoho </w:t>
      </w:r>
    </w:p>
    <w:p>
      <w:pPr>
        <w:pStyle w:val="Normal"/>
        <w:spacing w:lineRule="auto" w:line="240" w:before="0" w:after="120"/>
        <w:ind w:start="36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 žáka, jemuž je poskytováno podpůrné opatření ve třetím, čtvrtém nebo pátém stupni ve srovnatelné základní škole zřizované krajem, obcí nebo svazkem obcí,</w:t>
      </w:r>
    </w:p>
    <w:p>
      <w:pPr>
        <w:pStyle w:val="ListParagraph"/>
        <w:spacing w:lineRule="auto" w:line="240" w:before="0" w:after="120"/>
        <w:ind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b) žáka, jemuž je poskytováno podpůrné opatření ve čtvrtém nebo pátém stupni ve srovnatelné školní družině zřizované krajem, obcí nebo svazkem obcí, a</w:t>
      </w:r>
    </w:p>
    <w:p>
      <w:pPr>
        <w:pStyle w:val="ListParagraph"/>
        <w:spacing w:lineRule="auto" w:line="240" w:before="0" w:after="120"/>
        <w:ind w:start="360"/>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c) žáka ve srovnatelné základní škole zřizované krajem, obcí nebo svazkem obcí, s výjimkou mzdových prostředků a zákonných odvodů podle písmene a).</w:t>
      </w:r>
    </w:p>
    <w:p>
      <w:pPr>
        <w:pStyle w:val="ListParagraph"/>
        <w:spacing w:lineRule="auto" w:line="240" w:before="0" w:after="120"/>
        <w:ind w:start="357"/>
        <w:contextualSpacing w:val="false"/>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 Srovnatelnou základní školou nebo školní družinou podle odstavce 5 je základní škola nebo školní družina zřizovaná krajem, obcí nebo svazkem obcí mající nárok na financování činnosti asistenta pedagoga ze státního rozpočtu na základě nařízení vlády nebo prováděcího právního předpisu vydaného podle školského zákona</w:t>
      </w:r>
      <w:r>
        <w:rPr>
          <w:rFonts w:eastAsia="Times New Roman" w:cs="Times New Roman" w:ascii="Times New Roman" w:hAnsi="Times New Roman"/>
          <w:color w:themeColor="text1" w:val="000000"/>
          <w:sz w:val="24"/>
          <w:szCs w:val="24"/>
          <w:vertAlign w:val="superscript"/>
        </w:rPr>
        <w:t>13)</w:t>
      </w:r>
      <w:r>
        <w:rPr>
          <w:rFonts w:eastAsia="Times New Roman" w:cs="Times New Roman" w:ascii="Times New Roman" w:hAnsi="Times New Roman"/>
          <w:color w:themeColor="text1" w:val="000000"/>
          <w:sz w:val="24"/>
          <w:szCs w:val="24"/>
        </w:rPr>
        <w:t>.</w:t>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vertAlign w:val="superscript"/>
        </w:rPr>
        <w:t>13)</w:t>
      </w:r>
      <w:r>
        <w:rPr>
          <w:rFonts w:eastAsia="Times New Roman" w:cs="Times New Roman" w:ascii="Times New Roman" w:hAnsi="Times New Roman"/>
          <w:color w:themeColor="text1" w:val="000000"/>
          <w:sz w:val="24"/>
          <w:szCs w:val="24"/>
        </w:rPr>
        <w:t xml:space="preserve"> § 161 odst. 5 a § 161c odst. 2 písm. c) zákona č. 561/2004 Sb.“.</w:t>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Dosavadní odstavce 5 až 7 se označují jako odstavce 7 až 9.</w:t>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ListParagraph"/>
        <w:numPr>
          <w:ilvl w:val="0"/>
          <w:numId w:val="3"/>
        </w:numPr>
        <w:spacing w:lineRule="auto" w:line="240" w:before="0" w:after="240"/>
        <w:ind w:hanging="360"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4 odst. 9 se číslo „4“ nahrazuje číslem „5“.</w:t>
      </w:r>
    </w:p>
    <w:p>
      <w:pPr>
        <w:pStyle w:val="ListParagraph"/>
        <w:spacing w:lineRule="auto" w:line="240" w:before="0" w:after="240"/>
        <w:ind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ListParagraph"/>
        <w:numPr>
          <w:ilvl w:val="0"/>
          <w:numId w:val="3"/>
        </w:numPr>
        <w:spacing w:lineRule="auto" w:line="240" w:before="0" w:after="240"/>
        <w:ind w:hanging="360" w:start="360"/>
        <w:contextualSpacing/>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V § 5 odst. 2 úvodní části ustanovení se číslo „7“ nahrazuje číslem „9“.</w:t>
      </w:r>
    </w:p>
    <w:p>
      <w:pPr>
        <w:pStyle w:val="ListParagrap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Čl. IV</w:t>
      </w:r>
    </w:p>
    <w:p>
      <w:pPr>
        <w:pStyle w:val="ListParagraph"/>
        <w:spacing w:lineRule="auto" w:line="240" w:before="0" w:after="240"/>
        <w:ind w:start="360"/>
        <w:contextualSpacing/>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Přechodné ustanovení</w:t>
      </w:r>
    </w:p>
    <w:p>
      <w:pPr>
        <w:pStyle w:val="Normal"/>
        <w:jc w:val="both"/>
        <w:rPr>
          <w:rFonts w:ascii="Times New Roman" w:hAnsi="Times New Roman" w:cs="Times New Roman"/>
          <w:sz w:val="24"/>
          <w:szCs w:val="24"/>
        </w:rPr>
      </w:pPr>
      <w:r>
        <w:rPr>
          <w:rFonts w:cs="Times New Roman" w:ascii="Times New Roman" w:hAnsi="Times New Roman"/>
          <w:sz w:val="24"/>
          <w:szCs w:val="24"/>
        </w:rPr>
        <w:t>Ministerstvo školství, mládeže a tělovýchovy stanoví na období od 1. září do 31. prosince 2027 normativy na činnost asistenta pedagoga připadající na jednoho žáka v oboru vzdělání poskytující základní vzdělání a zveřejní je ve Věstníku Ministerstva školství, mládeže a tělovýchovy, a to nejpozději do 30. září 2027; ustanovení § 4 a 5 zákona č. 306/1999 Sb., ve znění účinném ode dne nabytí účinnosti tohoto zákona, se pro stanovení výše normativu na činnost asistenta pedagoga nepoužijí.</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lang w:val="cs-CZ"/>
        </w:rPr>
      </w:pPr>
      <w:r>
        <w:rPr>
          <w:rFonts w:cs="Times New Roman" w:ascii="Times New Roman" w:hAnsi="Times New Roman"/>
          <w:sz w:val="24"/>
          <w:szCs w:val="24"/>
          <w:lang w:val="cs-CZ"/>
        </w:rPr>
      </w:r>
      <w:r>
        <w:br w:type="page"/>
      </w:r>
    </w:p>
    <w:p>
      <w:pPr>
        <w:pStyle w:val="Normal"/>
        <w:spacing w:before="0" w:after="160"/>
        <w:jc w:val="center"/>
        <w:rPr>
          <w:rFonts w:ascii="Times New Roman" w:hAnsi="Times New Roman" w:cs="Times New Roman"/>
          <w:sz w:val="24"/>
          <w:szCs w:val="24"/>
          <w:lang w:val="cs-CZ"/>
        </w:rPr>
      </w:pPr>
      <w:r>
        <w:rPr>
          <w:rFonts w:cs="Times New Roman" w:ascii="Times New Roman" w:hAnsi="Times New Roman"/>
          <w:sz w:val="24"/>
          <w:szCs w:val="24"/>
          <w:lang w:val="cs-CZ"/>
        </w:rPr>
        <w:t>ČÁST TŘETÍ</w:t>
      </w:r>
    </w:p>
    <w:p>
      <w:pPr>
        <w:pStyle w:val="Normal"/>
        <w:jc w:val="center"/>
        <w:rPr>
          <w:rFonts w:ascii="Times New Roman" w:hAnsi="Times New Roman" w:cs="Times New Roman"/>
          <w:b/>
          <w:bCs/>
          <w:sz w:val="24"/>
          <w:szCs w:val="24"/>
          <w:lang w:val="cs-CZ"/>
        </w:rPr>
      </w:pPr>
      <w:r>
        <w:rPr>
          <w:rFonts w:cs="Times New Roman" w:ascii="Times New Roman" w:hAnsi="Times New Roman"/>
          <w:b/>
          <w:bCs/>
          <w:sz w:val="24"/>
          <w:szCs w:val="24"/>
          <w:lang w:val="cs-CZ"/>
        </w:rPr>
        <w:t>Změna zákona o sociálně-právní ochraně dětí</w:t>
      </w:r>
    </w:p>
    <w:p>
      <w:pPr>
        <w:pStyle w:val="Normal"/>
        <w:jc w:val="center"/>
        <w:rPr>
          <w:rFonts w:ascii="Times New Roman" w:hAnsi="Times New Roman" w:cs="Times New Roman"/>
          <w:sz w:val="24"/>
          <w:szCs w:val="24"/>
          <w:lang w:val="cs-CZ"/>
        </w:rPr>
      </w:pPr>
      <w:r>
        <w:rPr>
          <w:rFonts w:cs="Times New Roman" w:ascii="Times New Roman" w:hAnsi="Times New Roman"/>
          <w:sz w:val="24"/>
          <w:szCs w:val="24"/>
          <w:lang w:val="cs-CZ"/>
        </w:rPr>
        <w:t>Čl. V</w:t>
      </w:r>
    </w:p>
    <w:p>
      <w:pPr>
        <w:pStyle w:val="Normal"/>
        <w:jc w:val="both"/>
        <w:rPr>
          <w:rFonts w:ascii="Times New Roman" w:hAnsi="Times New Roman" w:cs="Times New Roman"/>
          <w:sz w:val="24"/>
          <w:szCs w:val="24"/>
          <w:lang w:val="cs-CZ"/>
        </w:rPr>
      </w:pPr>
      <w:r>
        <w:rPr>
          <w:rFonts w:cs="Times New Roman" w:ascii="Times New Roman" w:hAnsi="Times New Roman"/>
          <w:sz w:val="24"/>
          <w:szCs w:val="24"/>
          <w:lang w:val="cs-CZ"/>
        </w:rPr>
        <w:t>V § 12 odst. 1 zákona č. 359/1999 Sb., o sociálně-právní ochraně dětí, ve znění zákona č. 134/2006 Sb., zákona č. 401/2012 Sb. a zákona č. 363/2021 Sb., se na konci textu písmene a) doplňují slova „nebo rodiče k vyhledání takové pomoci předtím vyzvala škola nebo školské zařízení“.</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12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ČÁST ČTVRTÁ</w:t>
      </w:r>
    </w:p>
    <w:p>
      <w:pPr>
        <w:pStyle w:val="Normal"/>
        <w:spacing w:lineRule="auto" w:line="240" w:before="0" w:after="2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Změna zákona o pedagogických pracovnících</w:t>
      </w:r>
    </w:p>
    <w:p>
      <w:pPr>
        <w:pStyle w:val="Normal"/>
        <w:spacing w:lineRule="auto" w:line="240" w:before="0" w:after="2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Čl. VI</w:t>
      </w:r>
    </w:p>
    <w:p>
      <w:pPr>
        <w:pStyle w:val="Normal"/>
        <w:spacing w:lineRule="auto" w:line="240" w:before="0" w:after="240"/>
        <w:jc w:val="both"/>
        <w:rPr>
          <w:rFonts w:ascii="Times New Roman" w:hAnsi="Times New Roman" w:eastAsia="Times New Roman" w:cs="Times New Roman"/>
          <w:sz w:val="24"/>
          <w:szCs w:val="24"/>
        </w:rPr>
      </w:pPr>
      <w:hyperlink r:id="rId2">
        <w:r>
          <w:rPr>
            <w:rStyle w:val="Hyperlink"/>
            <w:rFonts w:eastAsia="Times New Roman" w:cs="Times New Roman" w:ascii="Times New Roman" w:hAnsi="Times New Roman"/>
            <w:color w:val="auto"/>
            <w:sz w:val="24"/>
            <w:szCs w:val="24"/>
            <w:u w:val="none"/>
          </w:rPr>
          <w:t>Zákon č. 563/2004 Sb., o pedagogických pracovnících a o změně některých zákonů</w:t>
        </w:r>
      </w:hyperlink>
      <w:r>
        <w:rPr>
          <w:rFonts w:eastAsia="Times New Roman" w:cs="Times New Roman" w:ascii="Times New Roman" w:hAnsi="Times New Roman"/>
          <w:sz w:val="24"/>
          <w:szCs w:val="24"/>
        </w:rPr>
        <w:t>, ve znění </w:t>
      </w:r>
      <w:hyperlink r:id="rId3">
        <w:r>
          <w:rPr>
            <w:rStyle w:val="Hyperlink"/>
            <w:rFonts w:eastAsia="Times New Roman" w:cs="Times New Roman" w:ascii="Times New Roman" w:hAnsi="Times New Roman"/>
            <w:color w:val="auto"/>
            <w:sz w:val="24"/>
            <w:szCs w:val="24"/>
            <w:u w:val="none"/>
          </w:rPr>
          <w:t>zákona č. 383/2005 Sb.</w:t>
        </w:r>
      </w:hyperlink>
      <w:r>
        <w:rPr>
          <w:rFonts w:eastAsia="Times New Roman" w:cs="Times New Roman" w:ascii="Times New Roman" w:hAnsi="Times New Roman"/>
          <w:sz w:val="24"/>
          <w:szCs w:val="24"/>
        </w:rPr>
        <w:t>, </w:t>
      </w:r>
      <w:hyperlink r:id="rId4">
        <w:r>
          <w:rPr>
            <w:rStyle w:val="Hyperlink"/>
            <w:rFonts w:eastAsia="Times New Roman" w:cs="Times New Roman" w:ascii="Times New Roman" w:hAnsi="Times New Roman"/>
            <w:color w:val="auto"/>
            <w:sz w:val="24"/>
            <w:szCs w:val="24"/>
            <w:u w:val="none"/>
          </w:rPr>
          <w:t>zákona č. 179/2006 Sb.</w:t>
        </w:r>
      </w:hyperlink>
      <w:r>
        <w:rPr>
          <w:rFonts w:eastAsia="Times New Roman" w:cs="Times New Roman" w:ascii="Times New Roman" w:hAnsi="Times New Roman"/>
          <w:sz w:val="24"/>
          <w:szCs w:val="24"/>
        </w:rPr>
        <w:t>, </w:t>
      </w:r>
      <w:hyperlink r:id="rId5">
        <w:r>
          <w:rPr>
            <w:rStyle w:val="Hyperlink"/>
            <w:rFonts w:eastAsia="Times New Roman" w:cs="Times New Roman" w:ascii="Times New Roman" w:hAnsi="Times New Roman"/>
            <w:color w:val="auto"/>
            <w:sz w:val="24"/>
            <w:szCs w:val="24"/>
            <w:u w:val="none"/>
          </w:rPr>
          <w:t>zákona č. 264/2006 Sb.</w:t>
        </w:r>
      </w:hyperlink>
      <w:r>
        <w:rPr>
          <w:rFonts w:eastAsia="Times New Roman" w:cs="Times New Roman" w:ascii="Times New Roman" w:hAnsi="Times New Roman"/>
          <w:sz w:val="24"/>
          <w:szCs w:val="24"/>
        </w:rPr>
        <w:t>, </w:t>
      </w:r>
      <w:hyperlink r:id="rId6">
        <w:r>
          <w:rPr>
            <w:rStyle w:val="Hyperlink"/>
            <w:rFonts w:eastAsia="Times New Roman" w:cs="Times New Roman" w:ascii="Times New Roman" w:hAnsi="Times New Roman"/>
            <w:color w:val="auto"/>
            <w:sz w:val="24"/>
            <w:szCs w:val="24"/>
            <w:u w:val="none"/>
          </w:rPr>
          <w:t>zákona č. 189/2008 Sb.</w:t>
        </w:r>
      </w:hyperlink>
      <w:r>
        <w:rPr>
          <w:rFonts w:eastAsia="Times New Roman" w:cs="Times New Roman" w:ascii="Times New Roman" w:hAnsi="Times New Roman"/>
          <w:sz w:val="24"/>
          <w:szCs w:val="24"/>
        </w:rPr>
        <w:t>, </w:t>
      </w:r>
      <w:hyperlink r:id="rId7">
        <w:r>
          <w:rPr>
            <w:rStyle w:val="Hyperlink"/>
            <w:rFonts w:eastAsia="Times New Roman" w:cs="Times New Roman" w:ascii="Times New Roman" w:hAnsi="Times New Roman"/>
            <w:color w:val="auto"/>
            <w:sz w:val="24"/>
            <w:szCs w:val="24"/>
            <w:u w:val="none"/>
          </w:rPr>
          <w:t>zákona č. 384/2008 Sb.</w:t>
        </w:r>
      </w:hyperlink>
      <w:r>
        <w:rPr>
          <w:rFonts w:eastAsia="Times New Roman" w:cs="Times New Roman" w:ascii="Times New Roman" w:hAnsi="Times New Roman"/>
          <w:sz w:val="24"/>
          <w:szCs w:val="24"/>
        </w:rPr>
        <w:t>, </w:t>
      </w:r>
      <w:hyperlink r:id="rId8">
        <w:r>
          <w:rPr>
            <w:rStyle w:val="Hyperlink"/>
            <w:rFonts w:eastAsia="Times New Roman" w:cs="Times New Roman" w:ascii="Times New Roman" w:hAnsi="Times New Roman"/>
            <w:color w:val="auto"/>
            <w:sz w:val="24"/>
            <w:szCs w:val="24"/>
            <w:u w:val="none"/>
          </w:rPr>
          <w:t>zákona č. 223/2009 Sb.</w:t>
        </w:r>
      </w:hyperlink>
      <w:r>
        <w:rPr>
          <w:rFonts w:eastAsia="Times New Roman" w:cs="Times New Roman" w:ascii="Times New Roman" w:hAnsi="Times New Roman"/>
          <w:sz w:val="24"/>
          <w:szCs w:val="24"/>
        </w:rPr>
        <w:t>, </w:t>
      </w:r>
      <w:hyperlink r:id="rId9">
        <w:r>
          <w:rPr>
            <w:rStyle w:val="Hyperlink"/>
            <w:rFonts w:eastAsia="Times New Roman" w:cs="Times New Roman" w:ascii="Times New Roman" w:hAnsi="Times New Roman"/>
            <w:color w:val="auto"/>
            <w:sz w:val="24"/>
            <w:szCs w:val="24"/>
            <w:u w:val="none"/>
          </w:rPr>
          <w:t xml:space="preserve">zákona </w:t>
          <w:br/>
          <w:t>č. 227/2009 Sb.</w:t>
        </w:r>
      </w:hyperlink>
      <w:r>
        <w:rPr>
          <w:rFonts w:eastAsia="Times New Roman" w:cs="Times New Roman" w:ascii="Times New Roman" w:hAnsi="Times New Roman"/>
          <w:sz w:val="24"/>
          <w:szCs w:val="24"/>
        </w:rPr>
        <w:t>, </w:t>
      </w:r>
      <w:hyperlink r:id="rId10">
        <w:r>
          <w:rPr>
            <w:rStyle w:val="Hyperlink"/>
            <w:rFonts w:eastAsia="Times New Roman" w:cs="Times New Roman" w:ascii="Times New Roman" w:hAnsi="Times New Roman"/>
            <w:color w:val="auto"/>
            <w:sz w:val="24"/>
            <w:szCs w:val="24"/>
            <w:u w:val="none"/>
          </w:rPr>
          <w:t>zákona č. 422/2009 Sb.</w:t>
        </w:r>
      </w:hyperlink>
      <w:r>
        <w:rPr>
          <w:rFonts w:eastAsia="Times New Roman" w:cs="Times New Roman" w:ascii="Times New Roman" w:hAnsi="Times New Roman"/>
          <w:sz w:val="24"/>
          <w:szCs w:val="24"/>
        </w:rPr>
        <w:t>, </w:t>
      </w:r>
      <w:hyperlink r:id="rId11">
        <w:r>
          <w:rPr>
            <w:rStyle w:val="Hyperlink"/>
            <w:rFonts w:eastAsia="Times New Roman" w:cs="Times New Roman" w:ascii="Times New Roman" w:hAnsi="Times New Roman"/>
            <w:color w:val="auto"/>
            <w:sz w:val="24"/>
            <w:szCs w:val="24"/>
            <w:u w:val="none"/>
          </w:rPr>
          <w:t>zákona č. 159/2010 Sb.</w:t>
        </w:r>
      </w:hyperlink>
      <w:r>
        <w:rPr>
          <w:rFonts w:eastAsia="Times New Roman" w:cs="Times New Roman" w:ascii="Times New Roman" w:hAnsi="Times New Roman"/>
          <w:sz w:val="24"/>
          <w:szCs w:val="24"/>
        </w:rPr>
        <w:t>, </w:t>
      </w:r>
      <w:hyperlink r:id="rId12">
        <w:r>
          <w:rPr>
            <w:rStyle w:val="Hyperlink"/>
            <w:rFonts w:eastAsia="Times New Roman" w:cs="Times New Roman" w:ascii="Times New Roman" w:hAnsi="Times New Roman"/>
            <w:color w:val="auto"/>
            <w:sz w:val="24"/>
            <w:szCs w:val="24"/>
            <w:u w:val="none"/>
          </w:rPr>
          <w:t xml:space="preserve">zákona </w:t>
          <w:br/>
          <w:t>č. 420/2011 Sb.</w:t>
        </w:r>
      </w:hyperlink>
      <w:r>
        <w:rPr>
          <w:rFonts w:eastAsia="Times New Roman" w:cs="Times New Roman" w:ascii="Times New Roman" w:hAnsi="Times New Roman"/>
          <w:sz w:val="24"/>
          <w:szCs w:val="24"/>
        </w:rPr>
        <w:t>, </w:t>
      </w:r>
      <w:hyperlink r:id="rId13">
        <w:r>
          <w:rPr>
            <w:rStyle w:val="Hyperlink"/>
            <w:rFonts w:eastAsia="Times New Roman" w:cs="Times New Roman" w:ascii="Times New Roman" w:hAnsi="Times New Roman"/>
            <w:color w:val="auto"/>
            <w:sz w:val="24"/>
            <w:szCs w:val="24"/>
            <w:u w:val="none"/>
          </w:rPr>
          <w:t>zákona č. 198/2012 Sb.</w:t>
        </w:r>
      </w:hyperlink>
      <w:r>
        <w:rPr>
          <w:rFonts w:eastAsia="Times New Roman" w:cs="Times New Roman" w:ascii="Times New Roman" w:hAnsi="Times New Roman"/>
          <w:sz w:val="24"/>
          <w:szCs w:val="24"/>
        </w:rPr>
        <w:t>, </w:t>
      </w:r>
      <w:hyperlink r:id="rId14">
        <w:r>
          <w:rPr>
            <w:rStyle w:val="Hyperlink"/>
            <w:rFonts w:eastAsia="Times New Roman" w:cs="Times New Roman" w:ascii="Times New Roman" w:hAnsi="Times New Roman"/>
            <w:color w:val="auto"/>
            <w:sz w:val="24"/>
            <w:szCs w:val="24"/>
            <w:u w:val="none"/>
          </w:rPr>
          <w:t>zákona č. 333/2012 Sb.</w:t>
        </w:r>
      </w:hyperlink>
      <w:r>
        <w:rPr>
          <w:rFonts w:eastAsia="Times New Roman" w:cs="Times New Roman" w:ascii="Times New Roman" w:hAnsi="Times New Roman"/>
          <w:sz w:val="24"/>
          <w:szCs w:val="24"/>
        </w:rPr>
        <w:t>, </w:t>
      </w:r>
      <w:hyperlink r:id="rId15">
        <w:r>
          <w:rPr>
            <w:rStyle w:val="Hyperlink"/>
            <w:rFonts w:eastAsia="Times New Roman" w:cs="Times New Roman" w:ascii="Times New Roman" w:hAnsi="Times New Roman"/>
            <w:color w:val="auto"/>
            <w:sz w:val="24"/>
            <w:szCs w:val="24"/>
            <w:u w:val="none"/>
          </w:rPr>
          <w:t xml:space="preserve">zákona </w:t>
          <w:br/>
          <w:t>č. 197/2014 Sb.</w:t>
        </w:r>
      </w:hyperlink>
      <w:r>
        <w:rPr>
          <w:rFonts w:eastAsia="Times New Roman" w:cs="Times New Roman" w:ascii="Times New Roman" w:hAnsi="Times New Roman"/>
          <w:sz w:val="24"/>
          <w:szCs w:val="24"/>
        </w:rPr>
        <w:t>, </w:t>
      </w:r>
      <w:hyperlink r:id="rId16">
        <w:r>
          <w:rPr>
            <w:rStyle w:val="Hyperlink"/>
            <w:rFonts w:eastAsia="Times New Roman" w:cs="Times New Roman" w:ascii="Times New Roman" w:hAnsi="Times New Roman"/>
            <w:color w:val="auto"/>
            <w:sz w:val="24"/>
            <w:szCs w:val="24"/>
            <w:u w:val="none"/>
          </w:rPr>
          <w:t>zákona č. 332/2014 Sb.</w:t>
        </w:r>
      </w:hyperlink>
      <w:r>
        <w:rPr>
          <w:rFonts w:eastAsia="Times New Roman" w:cs="Times New Roman" w:ascii="Times New Roman" w:hAnsi="Times New Roman"/>
          <w:sz w:val="24"/>
          <w:szCs w:val="24"/>
        </w:rPr>
        <w:t>, </w:t>
      </w:r>
      <w:hyperlink r:id="rId17">
        <w:r>
          <w:rPr>
            <w:rStyle w:val="Hyperlink"/>
            <w:rFonts w:eastAsia="Times New Roman" w:cs="Times New Roman" w:ascii="Times New Roman" w:hAnsi="Times New Roman"/>
            <w:color w:val="auto"/>
            <w:sz w:val="24"/>
            <w:szCs w:val="24"/>
            <w:u w:val="none"/>
          </w:rPr>
          <w:t>zákona č. 82/2015 Sb.</w:t>
        </w:r>
      </w:hyperlink>
      <w:r>
        <w:rPr>
          <w:rFonts w:eastAsia="Times New Roman" w:cs="Times New Roman" w:ascii="Times New Roman" w:hAnsi="Times New Roman"/>
          <w:sz w:val="24"/>
          <w:szCs w:val="24"/>
        </w:rPr>
        <w:t>, </w:t>
      </w:r>
      <w:hyperlink r:id="rId18">
        <w:r>
          <w:rPr>
            <w:rStyle w:val="Hyperlink"/>
            <w:rFonts w:eastAsia="Times New Roman" w:cs="Times New Roman" w:ascii="Times New Roman" w:hAnsi="Times New Roman"/>
            <w:color w:val="auto"/>
            <w:sz w:val="24"/>
            <w:szCs w:val="24"/>
            <w:u w:val="none"/>
          </w:rPr>
          <w:t xml:space="preserve">zákona </w:t>
          <w:br/>
          <w:t>č. 379/2015 Sb.</w:t>
        </w:r>
      </w:hyperlink>
      <w:r>
        <w:rPr>
          <w:rFonts w:eastAsia="Times New Roman" w:cs="Times New Roman" w:ascii="Times New Roman" w:hAnsi="Times New Roman"/>
          <w:sz w:val="24"/>
          <w:szCs w:val="24"/>
        </w:rPr>
        <w:t>, </w:t>
      </w:r>
      <w:hyperlink r:id="rId19">
        <w:r>
          <w:rPr>
            <w:rStyle w:val="Hyperlink"/>
            <w:rFonts w:eastAsia="Times New Roman" w:cs="Times New Roman" w:ascii="Times New Roman" w:hAnsi="Times New Roman"/>
            <w:color w:val="auto"/>
            <w:sz w:val="24"/>
            <w:szCs w:val="24"/>
            <w:u w:val="none"/>
          </w:rPr>
          <w:t>zákona č. 183/2023 Sb.</w:t>
        </w:r>
      </w:hyperlink>
      <w:r>
        <w:rPr>
          <w:rFonts w:eastAsia="Times New Roman" w:cs="Times New Roman" w:ascii="Times New Roman" w:hAnsi="Times New Roman"/>
          <w:sz w:val="24"/>
          <w:szCs w:val="24"/>
        </w:rPr>
        <w:t xml:space="preserve">, </w:t>
      </w:r>
      <w:hyperlink r:id="rId20">
        <w:r>
          <w:rPr>
            <w:rStyle w:val="Hyperlink"/>
            <w:rFonts w:eastAsia="Times New Roman" w:cs="Times New Roman" w:ascii="Times New Roman" w:hAnsi="Times New Roman"/>
            <w:color w:val="auto"/>
            <w:sz w:val="24"/>
            <w:szCs w:val="24"/>
            <w:u w:val="none"/>
          </w:rPr>
          <w:t>zákona č. 196/2024 Sb.</w:t>
        </w:r>
      </w:hyperlink>
      <w:r>
        <w:rPr>
          <w:rFonts w:eastAsia="Times New Roman" w:cs="Times New Roman" w:ascii="Times New Roman" w:hAnsi="Times New Roman"/>
          <w:sz w:val="24"/>
          <w:szCs w:val="24"/>
        </w:rPr>
        <w:t>, zákona č. 239/2025 Sb., zákona č. 267/2025 Sb. a zákona č. 270/2025 Sb., se mění takto:</w:t>
      </w:r>
    </w:p>
    <w:p>
      <w:pPr>
        <w:pStyle w:val="ListParagraph"/>
        <w:numPr>
          <w:ilvl w:val="0"/>
          <w:numId w:val="2"/>
        </w:numPr>
        <w:spacing w:lineRule="auto" w:line="240" w:before="0" w:after="120"/>
        <w:contextualSpacing w:val="false"/>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V § 20 odst. 1 úvodní části ustanovení se slova „, který vykonává přímou pedagogickou činnost ve třídě, ve které se vzdělávají děti nebo žáci se speciálními vzdělávacími potřebami nebo žáci prvního ročníku základního vzdělávání, nebo ve škole zajišťující vzdělávání dětí a žáků formou individuální integrace,“ zrušují.</w:t>
      </w:r>
    </w:p>
    <w:p>
      <w:pPr>
        <w:pStyle w:val="ListParagraph"/>
        <w:numPr>
          <w:ilvl w:val="0"/>
          <w:numId w:val="2"/>
        </w:numPr>
        <w:spacing w:lineRule="auto" w:line="240" w:before="0" w:after="120"/>
        <w:contextualSpacing w:val="false"/>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V § 23 odst. 2 se slova „prováděcího právního předpisu“ nahrazují slovy „nařízení vlády“.</w:t>
      </w:r>
    </w:p>
    <w:p>
      <w:pPr>
        <w:pStyle w:val="ListParagraph"/>
        <w:numPr>
          <w:ilvl w:val="0"/>
          <w:numId w:val="2"/>
        </w:numPr>
        <w:rPr>
          <w:rFonts w:ascii="Times New Roman" w:hAnsi="Times New Roman" w:eastAsia="Times New Roman" w:cs="Times New Roman"/>
          <w:sz w:val="24"/>
          <w:szCs w:val="24"/>
        </w:rPr>
      </w:pPr>
      <w:r>
        <w:rPr>
          <w:rFonts w:eastAsia="Times New Roman" w:cs="Times New Roman" w:ascii="Times New Roman" w:hAnsi="Times New Roman"/>
          <w:sz w:val="24"/>
          <w:szCs w:val="24"/>
        </w:rPr>
        <w:t>V § 23 se za odstavec 4 vkládá nový odstavec 5, který zní:</w:t>
      </w:r>
    </w:p>
    <w:p>
      <w:pPr>
        <w:pStyle w:val="ListParagraph"/>
        <w:spacing w:lineRule="auto" w:line="240" w:before="0" w:after="120"/>
        <w:ind w:start="357"/>
        <w:contextualSpacing w:val="false"/>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(5) Za přímou pedagogickou činnost se v rozsahu stanoveném ředitelem školy podle nařízení vlády považuje v případě speciálního pedagoga, školského logopeda, psychologa, sociálního pedagoga nebo metodika prevence v pedagogicko-psychologické poradně také přímé působení na pedagogické pracovníky nebo zákonné zástupce dětí nebo žáků spočívající zejména v metodickém vedení a konzultacích. Činnost podle věty první musí ředitel školy zahrnout do rozvrhu přímé pedagogické činnosti.“.</w:t>
      </w:r>
    </w:p>
    <w:p>
      <w:pPr>
        <w:pStyle w:val="ListParagraph"/>
        <w:spacing w:lineRule="auto" w:line="240" w:before="0" w:after="120"/>
        <w:ind w:start="357"/>
        <w:contextualSpacing w:val="false"/>
        <w:rPr>
          <w:rFonts w:ascii="Times New Roman" w:hAnsi="Times New Roman" w:eastAsia="Times New Roman" w:cs="Times New Roman"/>
          <w:sz w:val="24"/>
          <w:szCs w:val="24"/>
        </w:rPr>
      </w:pPr>
      <w:r>
        <w:rPr>
          <w:rFonts w:eastAsia="Times New Roman" w:cs="Times New Roman" w:ascii="Times New Roman" w:hAnsi="Times New Roman"/>
          <w:sz w:val="24"/>
          <w:szCs w:val="24"/>
        </w:rPr>
        <w:t>Dosavadní odstavec 5 se označuje jako odstavec 6.</w:t>
      </w:r>
    </w:p>
    <w:p>
      <w:pPr>
        <w:pStyle w:val="Normal"/>
        <w:spacing w:lineRule="auto" w:line="240" w:before="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istParagraph"/>
        <w:numPr>
          <w:ilvl w:val="0"/>
          <w:numId w:val="2"/>
        </w:numPr>
        <w:spacing w:before="0" w:after="120"/>
        <w:contextualSpacing w:val="false"/>
        <w:rPr>
          <w:rFonts w:ascii="Times New Roman" w:hAnsi="Times New Roman" w:eastAsia="Times New Roman" w:cs="Times New Roman"/>
          <w:sz w:val="24"/>
          <w:szCs w:val="24"/>
        </w:rPr>
      </w:pPr>
      <w:r>
        <w:rPr>
          <w:rFonts w:eastAsia="Times New Roman" w:cs="Times New Roman" w:ascii="Times New Roman" w:hAnsi="Times New Roman"/>
          <w:sz w:val="24"/>
          <w:szCs w:val="24"/>
        </w:rPr>
        <w:t>Za § 24d se vkládá nový § 24e, který včetně nadpisu zní:</w:t>
      </w:r>
    </w:p>
    <w:p>
      <w:pPr>
        <w:pStyle w:val="ListParagraph"/>
        <w:spacing w:lineRule="auto" w:line="240" w:before="0" w:after="0"/>
        <w:ind w:start="357"/>
        <w:contextualSpacing w:val="false"/>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24e</w:t>
      </w:r>
    </w:p>
    <w:p>
      <w:pPr>
        <w:pStyle w:val="ListParagraph"/>
        <w:spacing w:lineRule="auto" w:line="240" w:before="0" w:after="120"/>
        <w:ind w:start="357"/>
        <w:contextualSpacing w:val="false"/>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Metodik asistentů pedagoga</w:t>
      </w:r>
    </w:p>
    <w:p>
      <w:pPr>
        <w:pStyle w:val="Normal"/>
        <w:spacing w:lineRule="auto" w:line="240" w:before="0" w:after="120"/>
        <w:ind w:start="357"/>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 Metodik asistentů pedagoga metodicky vede asistenty pedagoga, průběžně a pravidelně s nimi hodnotí jejich přímou pedagogickou činnost a výkon prací souvisejících s přímou pedagogickou činností. Dále metodicky vede spolupráci asistentů pedagoga a jiných pedagogických pracovníků.</w:t>
      </w:r>
    </w:p>
    <w:p>
      <w:pPr>
        <w:pStyle w:val="ListParagraph"/>
        <w:spacing w:lineRule="auto" w:line="240" w:before="0" w:after="120"/>
        <w:ind w:start="357"/>
        <w:contextualSpacing w:val="false"/>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Činnost metodika asistentů pedagoga vykonává speciální pedagog. Pokud tuto činnost nelze zajistit speciálním pedagogem, vykonává ji jiný pedagogický pracovník. </w:t>
      </w:r>
    </w:p>
    <w:p>
      <w:pPr>
        <w:pStyle w:val="ListParagraph"/>
        <w:spacing w:lineRule="auto" w:line="240" w:before="0" w:after="120"/>
        <w:ind w:start="357"/>
        <w:contextualSpacing w:val="false"/>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 Požadavky pro řádný výkon práce metodika asistentů pedagoga splňuje pouze pedagogický pracovník uvedený v odstavci 2, který nejpozději do 3 let ode dne zahájení činnosti metodika asistentů pedagoga úspěšně ukončil studium pro metodiky asistentů pedagoga.“.</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ČÁST PÁTÁ</w:t>
      </w:r>
    </w:p>
    <w:p>
      <w:pPr>
        <w:pStyle w:val="Normal"/>
        <w:jc w:val="center"/>
        <w:rPr>
          <w:rFonts w:ascii="Times New Roman" w:hAnsi="Times New Roman" w:cs="Times New Roman"/>
          <w:b/>
          <w:bCs/>
          <w:sz w:val="24"/>
          <w:szCs w:val="24"/>
        </w:rPr>
      </w:pPr>
      <w:r>
        <w:rPr>
          <w:rFonts w:cs="Times New Roman" w:ascii="Times New Roman" w:hAnsi="Times New Roman"/>
          <w:b/>
          <w:bCs/>
          <w:sz w:val="24"/>
          <w:szCs w:val="24"/>
        </w:rPr>
        <w:t>Změna zákona č. 267/2025 Sb.</w:t>
      </w:r>
    </w:p>
    <w:p>
      <w:pPr>
        <w:pStyle w:val="Normal"/>
        <w:jc w:val="center"/>
        <w:rPr>
          <w:rFonts w:ascii="Times New Roman" w:hAnsi="Times New Roman" w:cs="Times New Roman"/>
          <w:b/>
          <w:bCs/>
          <w:sz w:val="24"/>
          <w:szCs w:val="24"/>
        </w:rPr>
      </w:pPr>
      <w:r>
        <w:rPr>
          <w:rFonts w:cs="Times New Roman" w:ascii="Times New Roman" w:hAnsi="Times New Roman"/>
          <w:sz w:val="24"/>
          <w:szCs w:val="24"/>
        </w:rPr>
        <w:t>Čl. VII</w:t>
      </w:r>
    </w:p>
    <w:p>
      <w:pPr>
        <w:pStyle w:val="Normal"/>
        <w:spacing w:lineRule="auto" w:line="240" w:before="0" w:after="24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V čl. II bodu 2 zákona č. 267/2025 Sb., kterým se mění zákon č. 561/2004 Sb., o předškolním, základním, středním, vyšším odborném a jiném vzdělávání (školský zákon), ve znění pozdějších předpisů, a některé další zákony, se slova „§ 16 odst. 11 a 12 zákona </w:t>
        <w:br/>
        <w:t>č. 561/2004 Sb., ve znění účinném ode dne 1. ledna 2026“ nahrazují slovy „§ 18a zákona č. 561/2004 Sb., ve znění účinném ode dne 1. září 2027“.</w:t>
      </w:r>
    </w:p>
    <w:p>
      <w:pPr>
        <w:pStyle w:val="Normal"/>
        <w:spacing w:lineRule="auto" w:line="240" w:before="0" w:after="12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ČÁST ŠESTÁ</w:t>
      </w:r>
    </w:p>
    <w:p>
      <w:pPr>
        <w:pStyle w:val="Normal"/>
        <w:spacing w:lineRule="auto" w:line="240" w:before="0" w:after="2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ÚČINNOST</w:t>
      </w:r>
    </w:p>
    <w:p>
      <w:pPr>
        <w:pStyle w:val="Normal"/>
        <w:spacing w:lineRule="auto" w:line="240" w:before="0" w:after="2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Čl. VIII</w:t>
      </w:r>
    </w:p>
    <w:p>
      <w:pPr>
        <w:pStyle w:val="Normal"/>
        <w:spacing w:lineRule="auto" w:line="240" w:before="0" w:after="12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Tento zákon nabývá účinnosti dnem 1. září 2027</w:t>
      </w:r>
      <w:r>
        <w:rPr>
          <w:rFonts w:eastAsia="Times New Roman" w:cs="Times New Roman" w:ascii="Times New Roman" w:hAnsi="Times New Roman"/>
          <w:color w:themeColor="text1" w:val="000000"/>
          <w:sz w:val="24"/>
          <w:szCs w:val="24"/>
          <w:lang w:val="cs-CZ"/>
        </w:rPr>
        <w:t>, s výjimkou ustanovení čl. I bodů 10 a 11, která nabývají účinnosti dnem 1. září 2028</w:t>
      </w:r>
      <w:r>
        <w:rPr>
          <w:rFonts w:eastAsia="Times New Roman" w:cs="Times New Roman" w:ascii="Times New Roman" w:hAnsi="Times New Roman"/>
          <w:color w:themeColor="text1" w:val="000000"/>
          <w:sz w:val="24"/>
          <w:szCs w:val="24"/>
        </w:rPr>
        <w:t>.</w:t>
      </w:r>
    </w:p>
    <w:p>
      <w:pPr>
        <w:pStyle w:val="Normal"/>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r>
        <w:br w:type="page"/>
      </w:r>
    </w:p>
    <w:p>
      <w:pPr>
        <w:pStyle w:val="Normal"/>
        <w:widowControl w:val="false"/>
        <w:tabs>
          <w:tab w:val="clear" w:pos="708"/>
          <w:tab w:val="left" w:pos="567" w:leader="none"/>
          <w:tab w:val="left" w:pos="8760" w:leader="none"/>
        </w:tabs>
        <w:spacing w:before="0" w:after="600"/>
        <w:jc w:val="center"/>
        <w:rPr>
          <w:rFonts w:ascii="Times New Roman" w:hAnsi="Times New Roman"/>
          <w:b/>
          <w:bCs/>
          <w:sz w:val="24"/>
          <w:szCs w:val="24"/>
        </w:rPr>
      </w:pPr>
      <w:r>
        <w:rPr>
          <w:rFonts w:ascii="Times New Roman" w:hAnsi="Times New Roman"/>
          <w:b/>
          <w:bCs/>
          <w:sz w:val="24"/>
          <w:szCs w:val="24"/>
        </w:rPr>
        <w:t>DŮVODOVÁ ZPRÁVA</w:t>
      </w:r>
    </w:p>
    <w:p>
      <w:pPr>
        <w:pStyle w:val="Normal"/>
        <w:widowControl w:val="false"/>
        <w:tabs>
          <w:tab w:val="clear" w:pos="708"/>
          <w:tab w:val="left" w:pos="8760" w:leader="none"/>
        </w:tabs>
        <w:spacing w:before="120" w:after="120"/>
        <w:jc w:val="center"/>
        <w:rPr>
          <w:rFonts w:ascii="Times New Roman" w:hAnsi="Times New Roman"/>
          <w:b/>
          <w:bCs/>
          <w:sz w:val="24"/>
          <w:szCs w:val="24"/>
        </w:rPr>
      </w:pPr>
      <w:r>
        <w:rPr>
          <w:rFonts w:ascii="Times New Roman" w:hAnsi="Times New Roman"/>
          <w:b/>
          <w:bCs/>
          <w:sz w:val="24"/>
          <w:szCs w:val="24"/>
        </w:rPr>
        <w:t>Návrh zákona, kterým se mění zákon č. 561/2004 Sb., o předškolním, základním, středním, vyšším odborném a jiném vzdělávání (školský zákon), ve znění pozdějších předpisů, a další související zákony</w:t>
      </w:r>
    </w:p>
    <w:p>
      <w:pPr>
        <w:pStyle w:val="Normal"/>
        <w:widowControl w:val="false"/>
        <w:tabs>
          <w:tab w:val="clear" w:pos="708"/>
          <w:tab w:val="left" w:pos="8760" w:leader="none"/>
        </w:tabs>
        <w:spacing w:before="120" w:after="120"/>
        <w:jc w:val="center"/>
        <w:rPr>
          <w:rFonts w:ascii="Times New Roman" w:hAnsi="Times New Roman"/>
          <w:b/>
          <w:bCs/>
          <w:sz w:val="24"/>
          <w:szCs w:val="24"/>
        </w:rPr>
      </w:pPr>
      <w:r>
        <w:rPr>
          <w:rFonts w:ascii="Times New Roman" w:hAnsi="Times New Roman"/>
          <w:b/>
          <w:bCs/>
          <w:sz w:val="24"/>
          <w:szCs w:val="24"/>
        </w:rPr>
      </w:r>
    </w:p>
    <w:p>
      <w:pPr>
        <w:pStyle w:val="Title"/>
        <w:spacing w:lineRule="auto" w:line="276" w:before="0" w:after="160"/>
        <w:jc w:val="both"/>
        <w:rPr>
          <w:szCs w:val="24"/>
          <w:u w:val="single"/>
        </w:rPr>
      </w:pPr>
      <w:r>
        <w:rPr>
          <w:u w:val="single"/>
        </w:rPr>
        <w:t>A</w:t>
      </w:r>
      <w:r>
        <w:rPr>
          <w:szCs w:val="24"/>
          <w:u w:val="single"/>
        </w:rPr>
        <w:t>. OBECNÁ ČÁST</w:t>
      </w:r>
    </w:p>
    <w:p>
      <w:pPr>
        <w:pStyle w:val="Normal"/>
        <w:rPr>
          <w:lang w:eastAsia="cs-CZ"/>
        </w:rPr>
      </w:pPr>
      <w:r>
        <w:rPr>
          <w:lang w:eastAsia="cs-CZ"/>
        </w:rPr>
      </w:r>
    </w:p>
    <w:p>
      <w:pPr>
        <w:pStyle w:val="Heading1"/>
        <w:numPr>
          <w:ilvl w:val="0"/>
          <w:numId w:val="5"/>
        </w:numPr>
        <w:ind w:hanging="284" w:start="284"/>
        <w:rPr/>
      </w:pPr>
      <w:r>
        <w:rPr/>
        <w:t>Zhodnocení platného právního stavu, včetně zhodnocení současného stavu ve vztahu k zákazu diskriminace a ve vztahu k rovnosti mužů a žen</w:t>
      </w:r>
    </w:p>
    <w:p>
      <w:pPr>
        <w:pStyle w:val="Normal"/>
        <w:spacing w:lineRule="auto" w:line="276"/>
        <w:jc w:val="both"/>
        <w:rPr>
          <w:rFonts w:ascii="Times New Roman" w:hAnsi="Times New Roman"/>
          <w:sz w:val="24"/>
          <w:szCs w:val="24"/>
        </w:rPr>
      </w:pPr>
      <w:r>
        <w:rPr>
          <w:rFonts w:eastAsia="Times New Roman" w:ascii="Times New Roman" w:hAnsi="Times New Roman"/>
          <w:sz w:val="24"/>
          <w:szCs w:val="24"/>
        </w:rPr>
        <w:t>Současný právní stav ukotvuje pozici asistenta pedagoga (AP) primárně jako nárokové podpůrné opatření 3. až 5. stupně vázané na konkrétního žáka se speciálními vzdělávacími potřebami (SVP). Toto opatření je poskytováno na základě časově omezeného doporučení školského poradenského zařízení (ŠPZ) a informovaného souhlasu zákonných zástupců. Financování je zajištěno skrze normovanou finanční náročnost. Tento model vykazuje však zásadní limity z hlediska stability, administrativní zátěže a předvídatelnosti pro všechny úrovně vzdělávacího systému. Podrobný popis existujícího právního stavu a jeho limitů je součástí Závěrečné zprávy o hodnocení dopadu regulace (RIA).</w:t>
      </w:r>
    </w:p>
    <w:p>
      <w:pPr>
        <w:pStyle w:val="Normal"/>
        <w:spacing w:lineRule="auto" w:line="276"/>
        <w:jc w:val="both"/>
        <w:rPr>
          <w:rFonts w:ascii="Times New Roman" w:hAnsi="Times New Roman"/>
          <w:sz w:val="24"/>
          <w:szCs w:val="24"/>
        </w:rPr>
      </w:pPr>
      <w:r>
        <w:rPr>
          <w:rFonts w:eastAsia="Times New Roman" w:ascii="Times New Roman" w:hAnsi="Times New Roman"/>
          <w:sz w:val="24"/>
          <w:szCs w:val="24"/>
        </w:rPr>
        <w:t>Návrh zákona nemá žádné dopady ve vztahu k zákazu diskriminace a rovněž se nijak netýká rovnosti mužů a žen, neboť mezi nimi nijak nerozlišuje.</w:t>
      </w:r>
    </w:p>
    <w:p>
      <w:pPr>
        <w:pStyle w:val="Heading1"/>
        <w:numPr>
          <w:ilvl w:val="0"/>
          <w:numId w:val="5"/>
        </w:numPr>
        <w:ind w:hanging="284" w:start="284"/>
        <w:rPr/>
      </w:pPr>
      <w:r>
        <w:rPr/>
        <w:t>Odůvodnění hlavních principů navrhované právní úpravy a shrnutí nejdůležitějších změn, které oproti stávající právní úpravě zavádí, včetně dopadů navrhovaného řešení ve vztahu k zákazu diskriminace a ve vztahu k rovnosti mužů a žen</w:t>
      </w:r>
    </w:p>
    <w:p>
      <w:pPr>
        <w:pStyle w:val="Normal"/>
        <w:spacing w:lineRule="auto" w:line="276"/>
        <w:jc w:val="both"/>
        <w:rPr>
          <w:rFonts w:ascii="Times New Roman" w:hAnsi="Times New Roman" w:eastAsia="Times New Roman"/>
          <w:sz w:val="24"/>
          <w:szCs w:val="24"/>
        </w:rPr>
      </w:pPr>
      <w:r>
        <w:rPr>
          <w:rFonts w:eastAsia="Times New Roman" w:ascii="Times New Roman" w:hAnsi="Times New Roman"/>
          <w:sz w:val="24"/>
          <w:szCs w:val="24"/>
        </w:rPr>
        <w:t xml:space="preserve">Hlavním principem navrhované úpravy je institucionalizace a profesionalizace pozice AP </w:t>
        <w:br/>
        <w:t xml:space="preserve">v běžných základních školách a školních družinách všech zřizovatelů. Dochází k přechodu od individuálně vázaného podpůrného opatření k plošnému personálnímu standardu školy. Ten je odvozen od objektivních parametrů (počet tříd, naplněnost, míra znevýhodnění žáků atd). Důraz na kvalitu působení AP je dán posílením metodického vedení přímo ve školách, </w:t>
        <w:br/>
        <w:t xml:space="preserve">a to zejména zavedením pozice metodika AP a snížením přímé pedagogické činnosti AP </w:t>
        <w:br/>
        <w:t>z 36 na 32 hodin týdně pro zajištění času na efektivní spolupráci s učiteli (snížení přímé pedagogické činnosti bude upraveno na úrovni nařízení vlády č. 75/2005 sb., o stanovení rozsahu přímé vyučovací, přímé výchovné, přímé speciálně pedagogické a přímé pedagogicko-psychologické činnosti pedagogických pracovníků, ve znění pozdějších předpisů).</w:t>
      </w:r>
    </w:p>
    <w:p>
      <w:pPr>
        <w:pStyle w:val="Normal"/>
        <w:spacing w:lineRule="auto" w:line="276"/>
        <w:jc w:val="both"/>
        <w:rPr>
          <w:rFonts w:ascii="Times New Roman" w:hAnsi="Times New Roman" w:eastAsia="Times New Roman"/>
          <w:sz w:val="24"/>
          <w:szCs w:val="24"/>
        </w:rPr>
      </w:pPr>
      <w:r>
        <w:rPr>
          <w:rFonts w:eastAsia="Times New Roman" w:ascii="Times New Roman" w:hAnsi="Times New Roman"/>
          <w:sz w:val="24"/>
          <w:szCs w:val="24"/>
        </w:rPr>
        <w:t>Plošný personální standard školy bude mít podobu stanovení maximálního počtu hodin přímé pedagogické činnosti AP (PHAmax) financovaného ze státního rozpočtu každé škole nebo školní družině na základě právním předpisem definovaných parametrů a údajů.</w:t>
      </w:r>
    </w:p>
    <w:p>
      <w:pPr>
        <w:pStyle w:val="Normal"/>
        <w:spacing w:lineRule="auto" w:line="276"/>
        <w:jc w:val="both"/>
        <w:rPr>
          <w:rFonts w:ascii="Times New Roman" w:hAnsi="Times New Roman" w:eastAsia="Times New Roman"/>
          <w:sz w:val="24"/>
          <w:szCs w:val="24"/>
        </w:rPr>
      </w:pPr>
      <w:r>
        <w:rPr>
          <w:rFonts w:eastAsia="Times New Roman" w:ascii="Times New Roman" w:hAnsi="Times New Roman"/>
          <w:sz w:val="24"/>
          <w:szCs w:val="24"/>
        </w:rPr>
        <w:t xml:space="preserve">Model pracuje zejména s daty, které má k dispozici MŠMT v rámci plnění již existujících zákonných kompetencí. Model však pracuje též s anonymizovanými údaji týkající se rodin pobírající státní sociální podporu v hmotné nouzi (v podobě počtu žáků z těchto rodin </w:t>
        <w:br/>
        <w:t xml:space="preserve">v jednotlivých školách), které budou přebírány z registrů Ministerstva práce a sociálních věcí na základě agendy nahlášené v Registru práv a povinností. Tyto údaje bude MŠMT sbírat </w:t>
        <w:br/>
        <w:t>v souladu s nařízením vlády a vyhláškou MŠMT.</w:t>
      </w:r>
    </w:p>
    <w:p>
      <w:pPr>
        <w:pStyle w:val="Heading1"/>
        <w:numPr>
          <w:ilvl w:val="0"/>
          <w:numId w:val="5"/>
        </w:numPr>
        <w:ind w:hanging="284" w:start="284"/>
        <w:rPr/>
      </w:pPr>
      <w:r>
        <w:rPr/>
        <w:t>Vysvětlení nezbytnosti navrhované právní úpravy v jejím celku</w:t>
      </w:r>
    </w:p>
    <w:p>
      <w:pPr>
        <w:pStyle w:val="Normal"/>
        <w:spacing w:lineRule="auto" w:line="276"/>
        <w:jc w:val="both"/>
        <w:rPr>
          <w:rFonts w:ascii="Times New Roman" w:hAnsi="Times New Roman" w:eastAsia="Times New Roman"/>
          <w:sz w:val="24"/>
          <w:szCs w:val="24"/>
        </w:rPr>
      </w:pPr>
      <w:r>
        <w:rPr>
          <w:rFonts w:eastAsia="Times New Roman" w:ascii="Times New Roman" w:hAnsi="Times New Roman"/>
          <w:sz w:val="24"/>
          <w:szCs w:val="24"/>
        </w:rPr>
        <w:t xml:space="preserve">Navrhovaná právní úprava je jako celek naprosto nezbytná, neboť stávající decentralizovaný, na diagnózu orientovaný model dosáhl svých limitů a je dlouhodobě neudržitelný.  Nelegislativní změny by nedokázaly vyřešit provázané problémy financování, kvality výuky </w:t>
        <w:br/>
        <w:t>a administrativního přetížení škol a ŠPZ. Zároveň nelze realizovat efektivnější alokaci úvazků AP bez současného legislativního zavedení metodické podpory a posílení kvality inkluzívního vzdělávání přímo na školách. Podrobné zdůvodnění nezbytnosti navrhované právní úpravy je obsaženo v Závěrečné zprávě o hodnocení dopadů regulace (RIA).</w:t>
      </w:r>
    </w:p>
    <w:p>
      <w:pPr>
        <w:pStyle w:val="Heading1"/>
        <w:numPr>
          <w:ilvl w:val="0"/>
          <w:numId w:val="5"/>
        </w:numPr>
        <w:ind w:hanging="284" w:start="284"/>
        <w:rPr/>
      </w:pPr>
      <w:r>
        <w:rPr/>
        <w:t>Zhodnocení souladu navrhované právní úpravy s ústavním pořádkem České republiky</w:t>
      </w:r>
    </w:p>
    <w:p>
      <w:pPr>
        <w:pStyle w:val="Normal"/>
        <w:suppressAutoHyphens w:val="true"/>
        <w:spacing w:lineRule="auto" w:line="276"/>
        <w:jc w:val="both"/>
        <w:rPr>
          <w:rFonts w:ascii="Times New Roman" w:hAnsi="Times New Roman"/>
          <w:sz w:val="24"/>
          <w:szCs w:val="24"/>
        </w:rPr>
      </w:pPr>
      <w:r>
        <w:rPr>
          <w:rFonts w:ascii="Times New Roman" w:hAnsi="Times New Roman"/>
          <w:sz w:val="24"/>
          <w:szCs w:val="24"/>
        </w:rPr>
        <w:t>Návrh zákona je v souladu s ústavním pořádkem České republiky. Čl. 33 Listiny základních práv a svobod, který upravuje právo na vzdělání, tímto návrhem dotčen není.</w:t>
      </w:r>
    </w:p>
    <w:p>
      <w:pPr>
        <w:pStyle w:val="Heading1"/>
        <w:numPr>
          <w:ilvl w:val="0"/>
          <w:numId w:val="5"/>
        </w:numPr>
        <w:ind w:hanging="284" w:start="284"/>
        <w:rPr/>
      </w:pPr>
      <w:r>
        <w:rPr/>
        <w:t xml:space="preserve">Zhodnocení slučitelnosti navrhované právní úpravy s předpisy Evropské unie, judikaturou soudních orgánů Evropské unie nebo obecnými právními zásadami práva Evropské unie </w:t>
      </w:r>
    </w:p>
    <w:p>
      <w:pPr>
        <w:pStyle w:val="Normal"/>
        <w:spacing w:lineRule="auto" w:line="276"/>
        <w:jc w:val="both"/>
        <w:rPr>
          <w:rFonts w:ascii="Times New Roman" w:hAnsi="Times New Roman"/>
          <w:sz w:val="24"/>
          <w:szCs w:val="24"/>
        </w:rPr>
      </w:pPr>
      <w:r>
        <w:rPr>
          <w:rFonts w:ascii="Times New Roman" w:hAnsi="Times New Roman"/>
          <w:sz w:val="24"/>
          <w:szCs w:val="24"/>
        </w:rPr>
        <w:t>Ve smyslu čl. 165 a 166 Smlouvy o fungování Evropské unie (dále jen „SFEU“) je společná politika všeobecného a odborného vzdělávání vyloučena z harmonizace zákonů a ostatních právních předpisů členských států. Právo Evropské unie (dále jen „EU“) plně respektuje odpovědnost národní právní úpravy členských států v oblasti organizace vzdělávacích systémů.</w:t>
      </w:r>
    </w:p>
    <w:p>
      <w:pPr>
        <w:pStyle w:val="Normal"/>
        <w:spacing w:lineRule="auto" w:line="276"/>
        <w:jc w:val="both"/>
        <w:rPr>
          <w:rFonts w:ascii="Times New Roman" w:hAnsi="Times New Roman"/>
          <w:sz w:val="24"/>
          <w:szCs w:val="24"/>
        </w:rPr>
      </w:pPr>
      <w:r>
        <w:rPr>
          <w:rFonts w:ascii="Times New Roman" w:hAnsi="Times New Roman"/>
          <w:sz w:val="24"/>
          <w:szCs w:val="24"/>
        </w:rPr>
        <w:t>Obecně současná právní úprava staví na principu, že důležité je najít a realizovat v praxi taková podpůrná opatření, která budou nástrojem pro překonání překážek ve vzdělávání žáka. Na druhou stranu se jedná pouze o ta podpůrná opatření, která jsou nezbytná. Takový přístup je zcela v souladu s mezinárodními dokumenty uvedenými v bodě 6.  a judikaturou Evropského soudu pro lidská práva, které rovněž vychází z principu proporcionality. Na tomto principu navrhovaná právní úprava nic nemění.</w:t>
      </w:r>
    </w:p>
    <w:p>
      <w:pPr>
        <w:pStyle w:val="Normal"/>
        <w:spacing w:lineRule="auto" w:line="276"/>
        <w:jc w:val="both"/>
        <w:rPr>
          <w:rFonts w:ascii="Times New Roman" w:hAnsi="Times New Roman"/>
          <w:sz w:val="24"/>
          <w:szCs w:val="24"/>
        </w:rPr>
      </w:pPr>
      <w:r>
        <w:rPr>
          <w:rFonts w:ascii="Times New Roman" w:hAnsi="Times New Roman"/>
          <w:sz w:val="24"/>
          <w:szCs w:val="24"/>
        </w:rPr>
        <w:t>Judikatura Evropského soudu pro lidská práva se v posledních letech rovněž ustálila na názoru, že při zajišťování podpory pro účinné vzdělávání osob se zdravotním postižením by neměly být vznášeny neúměrné požadavky (např. rozsudek ESLP ze dne 18. 12. 2018 ve věci Bettina Dupin proti Francii, stížnost č. 2282/17, rozsudek ESLP ze dne 25. 6. 2019 ve věci Stoian proti Rumunsku, stížnost č. 289/14).</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Pokud jde o </w:t>
      </w:r>
      <w:r>
        <w:rPr>
          <w:rFonts w:ascii="Times New Roman" w:hAnsi="Times New Roman"/>
          <w:sz w:val="24"/>
          <w:szCs w:val="24"/>
          <w:lang w:eastAsia="cs-CZ"/>
        </w:rPr>
        <w:t>soulad s právem veřejných podpor, které vychází z čl. 107 a násl. Smlouvy o fungování Evropské unie, blíže je specifikováno v bodě 8 důvodové zprávy.</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Návrh novely zákona právo EU přímo nezpracovává. </w:t>
      </w:r>
    </w:p>
    <w:p>
      <w:pPr>
        <w:pStyle w:val="Normal"/>
        <w:spacing w:lineRule="auto" w:line="240" w:before="0" w:after="0"/>
        <w:rPr>
          <w:rFonts w:ascii="Times New Roman" w:hAnsi="Times New Roman" w:eastAsia="Times New Roman"/>
          <w:b/>
          <w:bCs/>
          <w:color w:themeColor="text1" w:val="000000"/>
          <w:kern w:val="2"/>
          <w:sz w:val="24"/>
          <w:szCs w:val="24"/>
        </w:rPr>
      </w:pPr>
      <w:r>
        <w:rPr>
          <w:rFonts w:eastAsia="Times New Roman" w:ascii="Times New Roman" w:hAnsi="Times New Roman"/>
          <w:b/>
          <w:bCs/>
          <w:color w:themeColor="text1" w:val="000000"/>
          <w:kern w:val="2"/>
          <w:sz w:val="24"/>
          <w:szCs w:val="24"/>
        </w:rPr>
      </w:r>
      <w:r>
        <w:br w:type="page"/>
      </w:r>
    </w:p>
    <w:p>
      <w:pPr>
        <w:pStyle w:val="Heading1"/>
        <w:numPr>
          <w:ilvl w:val="0"/>
          <w:numId w:val="5"/>
        </w:numPr>
        <w:spacing w:before="0" w:after="160"/>
        <w:ind w:hanging="284" w:start="284"/>
        <w:rPr/>
      </w:pPr>
      <w:r>
        <w:rPr/>
        <w:t>Zhodnocení souladu navrhované právní úpravy s mezinárodními smlouvami, jimiž je Česká republika vázána</w:t>
      </w:r>
    </w:p>
    <w:p>
      <w:pPr>
        <w:pStyle w:val="Normal"/>
        <w:spacing w:lineRule="auto" w:line="276"/>
        <w:jc w:val="both"/>
        <w:rPr>
          <w:rFonts w:ascii="Times New Roman" w:hAnsi="Times New Roman"/>
          <w:sz w:val="24"/>
          <w:szCs w:val="24"/>
        </w:rPr>
      </w:pPr>
      <w:r>
        <w:rPr>
          <w:rFonts w:ascii="Times New Roman" w:hAnsi="Times New Roman"/>
          <w:sz w:val="24"/>
          <w:szCs w:val="24"/>
        </w:rPr>
        <w:t>Na předložený návrh se v širších souvislostech vztahuje:</w:t>
      </w:r>
    </w:p>
    <w:p>
      <w:pPr>
        <w:pStyle w:val="Normal"/>
        <w:spacing w:lineRule="auto" w:line="276"/>
        <w:jc w:val="both"/>
        <w:rPr>
          <w:rFonts w:ascii="Times New Roman" w:hAnsi="Times New Roman"/>
          <w:sz w:val="24"/>
          <w:szCs w:val="24"/>
        </w:rPr>
      </w:pPr>
      <w:r>
        <w:rPr>
          <w:rFonts w:ascii="Times New Roman" w:hAnsi="Times New Roman"/>
          <w:sz w:val="24"/>
          <w:szCs w:val="24"/>
        </w:rPr>
        <w:t>-</w:t>
        <w:tab/>
        <w:t>Úmluva o právech osob se zdravotním postižením, kterou přijala také EU (2010/48/ES),</w:t>
      </w:r>
    </w:p>
    <w:p>
      <w:pPr>
        <w:pStyle w:val="Normal"/>
        <w:spacing w:lineRule="auto" w:line="276"/>
        <w:jc w:val="both"/>
        <w:rPr>
          <w:rFonts w:ascii="Times New Roman" w:hAnsi="Times New Roman"/>
          <w:sz w:val="24"/>
          <w:szCs w:val="24"/>
        </w:rPr>
      </w:pPr>
      <w:r>
        <w:rPr>
          <w:rFonts w:ascii="Times New Roman" w:hAnsi="Times New Roman"/>
          <w:sz w:val="24"/>
          <w:szCs w:val="24"/>
        </w:rPr>
        <w:t>-</w:t>
        <w:tab/>
        <w:t>Listina základních práv EU (2012/C 326/02),</w:t>
      </w:r>
    </w:p>
    <w:p>
      <w:pPr>
        <w:pStyle w:val="Normal"/>
        <w:spacing w:lineRule="auto" w:line="276"/>
        <w:jc w:val="both"/>
        <w:rPr>
          <w:rFonts w:ascii="Times New Roman" w:hAnsi="Times New Roman"/>
          <w:sz w:val="24"/>
          <w:szCs w:val="24"/>
        </w:rPr>
      </w:pPr>
      <w:r>
        <w:rPr>
          <w:rFonts w:ascii="Times New Roman" w:hAnsi="Times New Roman"/>
          <w:sz w:val="24"/>
          <w:szCs w:val="24"/>
        </w:rPr>
        <w:t>-</w:t>
        <w:tab/>
        <w:t xml:space="preserve">Úmluva o právech dítěte, </w:t>
      </w:r>
    </w:p>
    <w:p>
      <w:pPr>
        <w:pStyle w:val="Normal"/>
        <w:spacing w:lineRule="auto" w:line="276"/>
        <w:jc w:val="both"/>
        <w:rPr>
          <w:rFonts w:ascii="Times New Roman" w:hAnsi="Times New Roman"/>
          <w:sz w:val="24"/>
          <w:szCs w:val="24"/>
        </w:rPr>
      </w:pPr>
      <w:r>
        <w:rPr>
          <w:rFonts w:ascii="Times New Roman" w:hAnsi="Times New Roman"/>
          <w:sz w:val="24"/>
          <w:szCs w:val="24"/>
        </w:rPr>
        <w:t>-</w:t>
        <w:tab/>
        <w:t>Úmluva o ochraně lidských práv a základních svobod.</w:t>
      </w:r>
    </w:p>
    <w:p>
      <w:pPr>
        <w:pStyle w:val="Normal"/>
        <w:spacing w:lineRule="auto" w:line="276"/>
        <w:jc w:val="both"/>
        <w:rPr>
          <w:rFonts w:ascii="Times New Roman" w:hAnsi="Times New Roman"/>
          <w:sz w:val="24"/>
          <w:szCs w:val="24"/>
        </w:rPr>
      </w:pPr>
      <w:r>
        <w:rPr>
          <w:rFonts w:ascii="Times New Roman" w:hAnsi="Times New Roman"/>
          <w:sz w:val="24"/>
          <w:szCs w:val="24"/>
        </w:rPr>
        <w:t>Návrh je v souladu s mezinárodními smlouvami, jimiž je Česká republika vázána. Navržený systém zajistí personální podmínky v základních školách a školních družinách v takovém rozsahu, aby mohla být zajištěna individuální podpora žákům, kteří podporu potřebují. Parametry budou navrženy tak, aby byla stále možná dostatečná individualizace při vzdělávání.</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Je nezbytné podotknout, že podle stávající úpravy lze poskytovat asistenty pedagoga jako podpůrné opatření pouze pro žáky se třetím až pátým stupněm podpůrných opatření (odhlédneme-li od zavedení parametrizovaného asistenta pedagoga pro třídy s 15 a více žáky prvního ročníku s účinností od 1.9.2026). Nová úprava institucionalizace asistentů pedagoga pro základní školy a školní družiny umožní řediteli školy využít asistenta pedagoga i ve třídě, ve které se nevzdělává žák se třetím a vyšším stupněm podpůrných opatření. Právě díky tomu, že ředitel školy bude mít možnost zohledňovat i specifika jednotlivých tříd, bude moci asistenta pedagoga přidělit do třídy, kde by za stávající právní úpravy nemohl působit, přitom by již dnes mohlo být vhodné, aby ve třídě asistent pedagoga byl. </w:t>
      </w:r>
    </w:p>
    <w:p>
      <w:pPr>
        <w:pStyle w:val="Normal"/>
        <w:spacing w:lineRule="auto" w:line="276"/>
        <w:jc w:val="both"/>
        <w:rPr>
          <w:rFonts w:ascii="Times New Roman" w:hAnsi="Times New Roman"/>
          <w:sz w:val="24"/>
          <w:szCs w:val="24"/>
        </w:rPr>
      </w:pPr>
      <w:r>
        <w:rPr>
          <w:rFonts w:ascii="Times New Roman" w:hAnsi="Times New Roman"/>
          <w:sz w:val="24"/>
          <w:szCs w:val="24"/>
        </w:rPr>
        <w:t>Ředitel školy bude mít navíc podle úpravy ve školském zákoně povinnost využít asistenta pedagoga, je-li to při zohlednění vzdělávacích potřeb důvodné. Tuto důvodnost mu pomohou posoudit mj. školská poradenská zařízení. Těm zůstane zachována možnost se i nadále v doporučení vyjadřovat k tomu, zda je podpora asistenta pedagoga pro konkrétní dítě potřebná. Tudíž ředitel školy bude disponovat doporučením školského poradenského zařízení, které sice nebude závazné jako v případě doporučení podpůrných opatření, ale řediteli školy jednoznačně řekne, pro kterého žáka je využití asistenta pedagoga důvodné.</w:t>
      </w:r>
    </w:p>
    <w:p>
      <w:pPr>
        <w:pStyle w:val="Normal"/>
        <w:spacing w:lineRule="auto" w:line="276"/>
        <w:jc w:val="both"/>
        <w:rPr>
          <w:rFonts w:ascii="Times New Roman" w:hAnsi="Times New Roman"/>
          <w:sz w:val="24"/>
          <w:szCs w:val="24"/>
        </w:rPr>
      </w:pPr>
      <w:r>
        <w:rPr>
          <w:rFonts w:ascii="Times New Roman" w:hAnsi="Times New Roman"/>
          <w:sz w:val="24"/>
          <w:szCs w:val="24"/>
        </w:rPr>
        <w:t>Závěrem doplňujeme, že z Úmluvy o právech osob se zdravotním postižením a Zásad inkluzivního vzdělávání dle Obecného komentáře č. 4 Výboru OSN pro práva osob se zdravotním postižením je zřejmé, že podporu přiznanou osobám se zdravotním postižením je třeba vnímat jako podporu účelnou a proporcionální. Mezinárodní dokumenty nestanoví, že podpora by měla být poskytována za každou cenu, bez limitů. Jak uvádíme v bodě 5., judikatura Evropského soudu pro lidská práva se v posledních letech rovněž ustálila na názoru, že při zajišťování podpory pro účinné vzdělávání osob se zdravotním postižením by neměly být vznášeny neúměrné požadavky (např. rozsudek ESLP ze dne 18. 12. 2018 ve věci Bettina Dupin proti Francii, stížnost č. 2282/17, rozsudek ESLP ze dne 25. 6. 2019 ve věci Stoian proti Rumunsku, stížnost č. 289/14).</w:t>
      </w:r>
    </w:p>
    <w:p>
      <w:pPr>
        <w:pStyle w:val="Normal"/>
        <w:spacing w:lineRule="auto" w:line="276"/>
        <w:jc w:val="both"/>
        <w:rPr>
          <w:rFonts w:ascii="Times New Roman" w:hAnsi="Times New Roman"/>
          <w:sz w:val="24"/>
          <w:szCs w:val="24"/>
        </w:rPr>
      </w:pPr>
      <w:r>
        <w:rPr>
          <w:rFonts w:ascii="Times New Roman" w:hAnsi="Times New Roman"/>
          <w:sz w:val="24"/>
          <w:szCs w:val="24"/>
        </w:rPr>
      </w:r>
    </w:p>
    <w:p>
      <w:pPr>
        <w:pStyle w:val="Heading1"/>
        <w:numPr>
          <w:ilvl w:val="0"/>
          <w:numId w:val="5"/>
        </w:numPr>
        <w:ind w:hanging="284" w:start="284"/>
        <w:rPr/>
      </w:pPr>
      <w:r>
        <w:rPr/>
        <w:t xml:space="preserve">Předpokládaný hospodářský a finanční dopad navrhované právní </w:t>
      </w:r>
      <w:bookmarkStart w:id="0" w:name="_Hlk130897396"/>
      <w:r>
        <w:rPr/>
        <w:t xml:space="preserve">úpravy na státní rozpočet, ostatní veřejné rozpočty a na podnikatelské prostředí České republiky </w:t>
      </w:r>
      <w:bookmarkEnd w:id="0"/>
    </w:p>
    <w:p>
      <w:pPr>
        <w:pStyle w:val="Normal"/>
        <w:tabs>
          <w:tab w:val="clear" w:pos="708"/>
          <w:tab w:val="left" w:pos="1037" w:leader="none"/>
        </w:tabs>
        <w:spacing w:lineRule="auto" w:line="276"/>
        <w:jc w:val="both"/>
        <w:rPr>
          <w:rFonts w:ascii="Times New Roman" w:hAnsi="Times New Roman" w:eastAsia="Times New Roman"/>
          <w:sz w:val="24"/>
          <w:szCs w:val="24"/>
        </w:rPr>
      </w:pPr>
      <w:r>
        <w:rPr>
          <w:rFonts w:eastAsia="Times New Roman" w:ascii="Times New Roman" w:hAnsi="Times New Roman"/>
          <w:color w:themeColor="text1" w:val="000000"/>
          <w:sz w:val="24"/>
          <w:szCs w:val="24"/>
        </w:rPr>
        <w:t xml:space="preserve">Navržená novela a s ní spojená opatření nemají negativní dopad na státní rozpočet. Porovnání finančních dopadů současného stavu a navrhovaných změn je obsaženo v tabulkách č. 5 a 6 Závěrečné zprávy o hodnocení dopadu regulace (RIA). MŠMT zároveň konstatuje, že </w:t>
      </w:r>
      <w:r>
        <w:rPr>
          <w:rFonts w:eastAsia="Times New Roman" w:ascii="Times New Roman" w:hAnsi="Times New Roman"/>
          <w:sz w:val="24"/>
          <w:szCs w:val="24"/>
        </w:rPr>
        <w:t>případný nárůst výdajů souvisejících s institucionalizací asistentů pedagoga a s tím souvisejícím snížením rozsahu přímé pedagogické činnosti asistentů pedagoga a zavedením PHPmax pro jejich metodické vedení bude řešen úpravou vstupních parametrů rozhodných pro stanovení PHAmax a PHPmax tak, aby byly dodrženy rozpočtové limity této oblasti pro rok 2027.</w:t>
      </w:r>
    </w:p>
    <w:p>
      <w:pPr>
        <w:pStyle w:val="Heading1"/>
        <w:numPr>
          <w:ilvl w:val="0"/>
          <w:numId w:val="5"/>
        </w:numPr>
        <w:ind w:hanging="284" w:start="284"/>
        <w:rPr>
          <w:lang w:eastAsia="cs-CZ"/>
        </w:rPr>
      </w:pPr>
      <w:r>
        <w:rPr>
          <w:lang w:eastAsia="cs-CZ"/>
        </w:rPr>
        <w:t>Zhodnocení, zda návrhem zákona není zakládána veřejná podpora</w:t>
      </w:r>
    </w:p>
    <w:p>
      <w:pPr>
        <w:pStyle w:val="Normal"/>
        <w:jc w:val="both"/>
        <w:rPr>
          <w:rFonts w:ascii="Times New Roman" w:hAnsi="Times New Roman"/>
          <w:sz w:val="24"/>
          <w:szCs w:val="24"/>
          <w:lang w:eastAsia="cs-CZ"/>
        </w:rPr>
      </w:pPr>
      <w:r>
        <w:rPr>
          <w:rFonts w:ascii="Times New Roman" w:hAnsi="Times New Roman"/>
          <w:sz w:val="24"/>
          <w:szCs w:val="24"/>
          <w:lang w:eastAsia="cs-CZ"/>
        </w:rPr>
        <w:t xml:space="preserve">Z hlediska souladu s právem veřejných podpor, jež vychází z čl. 107 a násl. Smlouvy o fungování Evropské unie, je nutné posoudit, zda v případě navrhované úpravy jde o službu všeobecného vzdělávání nehospodářské povahy (srov. Sdělení Komise o pojmu státní podpora uvedeném v čl. 107 odst. 1 Smlouvy o fungování Evropské unie ze dne 2016/C 262/01, </w:t>
        <w:br/>
        <w:t>odst. 28 až 30 a judikaturu tam uvedenou), nikoli o službu nabízenou na trhu,  v jejímž rámci by poskytovatel byl považován za podnik; v takovém případě by totiž úprava do oblasti zákazu veřejných podpor nespadala.</w:t>
      </w:r>
    </w:p>
    <w:p>
      <w:pPr>
        <w:pStyle w:val="Normal"/>
        <w:jc w:val="both"/>
        <w:rPr>
          <w:rFonts w:ascii="Times New Roman" w:hAnsi="Times New Roman"/>
          <w:sz w:val="24"/>
          <w:szCs w:val="24"/>
          <w:lang w:eastAsia="cs-CZ"/>
        </w:rPr>
      </w:pPr>
      <w:r>
        <w:rPr>
          <w:rFonts w:ascii="Times New Roman" w:hAnsi="Times New Roman"/>
          <w:sz w:val="24"/>
          <w:szCs w:val="24"/>
          <w:lang w:eastAsia="cs-CZ"/>
        </w:rPr>
        <w:t>Je třeba vycházet z toho, že cílem úpravy je učinit podpůrnou pedagogickou pozici asistenta pedagoga standardní součástí veřejného vzdělávacího systému v základních školách běžného vzdělávacího proudu.</w:t>
      </w:r>
      <w:r>
        <w:rPr>
          <w:rFonts w:ascii="Roboto" w:hAnsi="Roboto"/>
          <w:color w:val="172B4D"/>
          <w:sz w:val="21"/>
          <w:szCs w:val="21"/>
          <w:shd w:fill="FFFFFF" w:val="clear"/>
        </w:rPr>
        <w:t xml:space="preserve"> </w:t>
      </w:r>
      <w:r>
        <w:rPr>
          <w:rFonts w:ascii="Times New Roman" w:hAnsi="Times New Roman"/>
          <w:sz w:val="24"/>
          <w:szCs w:val="24"/>
          <w:lang w:eastAsia="cs-CZ"/>
        </w:rPr>
        <w:t xml:space="preserve">Plně se přitom navazuje na dosavadní právní rámec financování činnosti škol a školských zařízení veřejných a ostatních zřizovatelů. Ten obecně počítá s tím, </w:t>
        <w:br/>
        <w:t>že poskytování vzdělávání v základních školách veřejných zřizovatelů je plně financováno z veřejných prostředků, zatímco právnickým osobám vykonávajícím činnost škol a školských zařízení jiných zřizovatelů se na jejich činnost poskytují dotace [zákon č. 306/1999 Sb., § 160 odst. 1 písm. b) a § 162 odst. 1 až 4 školského zákona).</w:t>
      </w:r>
    </w:p>
    <w:p>
      <w:pPr>
        <w:pStyle w:val="Normal"/>
        <w:jc w:val="both"/>
        <w:rPr>
          <w:rFonts w:ascii="Times New Roman" w:hAnsi="Times New Roman"/>
          <w:sz w:val="24"/>
          <w:szCs w:val="24"/>
          <w:lang w:eastAsia="cs-CZ"/>
        </w:rPr>
      </w:pPr>
      <w:r>
        <w:rPr>
          <w:rFonts w:ascii="Times New Roman" w:hAnsi="Times New Roman"/>
          <w:sz w:val="24"/>
          <w:szCs w:val="24"/>
          <w:lang w:eastAsia="cs-CZ"/>
        </w:rPr>
        <w:t>Navržené znění § 4 odst. 5 a 6 zákona č. 306/1999 Sb. počítá se zvýšením dotace soukromým základním školám běžného vzdělávacího proudu, které jsou srovnatelné se základními školami veřejných zřizovatelů majícími nárok na financování činnosti asistenta pedagoga podle příslušného nařízení vlády.</w:t>
      </w:r>
    </w:p>
    <w:p>
      <w:pPr>
        <w:pStyle w:val="Normal"/>
        <w:jc w:val="both"/>
        <w:rPr>
          <w:rFonts w:ascii="Times New Roman" w:hAnsi="Times New Roman"/>
          <w:sz w:val="24"/>
          <w:szCs w:val="24"/>
          <w:lang w:eastAsia="cs-CZ"/>
        </w:rPr>
      </w:pPr>
      <w:r>
        <w:rPr>
          <w:rFonts w:ascii="Times New Roman" w:hAnsi="Times New Roman"/>
          <w:sz w:val="24"/>
          <w:szCs w:val="24"/>
          <w:lang w:eastAsia="cs-CZ"/>
        </w:rPr>
        <w:t>Navrhovaná právní úprava nezakládá veřejnou podporu. Finanční prostředky poskytované ze státního rozpočtu na činnost asistentů pedagoga jsou určeny výhradně na zajištění práva na vzdělání a financování veřejné vzdělávací soustavy, přičemž tato činnost nemá hospodářskou povahu.</w:t>
      </w:r>
    </w:p>
    <w:p>
      <w:pPr>
        <w:pStyle w:val="Heading1"/>
        <w:numPr>
          <w:ilvl w:val="0"/>
          <w:numId w:val="5"/>
        </w:numPr>
        <w:ind w:hanging="284" w:start="284"/>
        <w:rPr>
          <w:lang w:eastAsia="cs-CZ"/>
        </w:rPr>
      </w:pPr>
      <w:r>
        <w:rPr>
          <w:lang w:eastAsia="cs-CZ"/>
        </w:rPr>
        <w:t>Zhodnocení dopadů na práva a povinnosti fyzických a právnických osob</w:t>
      </w:r>
    </w:p>
    <w:p>
      <w:pPr>
        <w:pStyle w:val="Normal"/>
        <w:spacing w:lineRule="auto" w:line="276"/>
        <w:ind w:start="357"/>
        <w:jc w:val="both"/>
        <w:rPr>
          <w:rFonts w:ascii="Times New Roman" w:hAnsi="Times New Roman" w:eastAsia="Times New Roman"/>
          <w:sz w:val="24"/>
          <w:szCs w:val="24"/>
        </w:rPr>
      </w:pPr>
      <w:r>
        <w:rPr>
          <w:rFonts w:eastAsia="Times New Roman" w:ascii="Times New Roman" w:hAnsi="Times New Roman"/>
          <w:sz w:val="24"/>
          <w:szCs w:val="24"/>
        </w:rPr>
        <w:t>Návrh má dopad do postavení zejména následujícího okruhu osob:</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Žáci a jejich zákonní zástupci. </w:t>
      </w:r>
      <w:r>
        <w:rPr>
          <w:rFonts w:eastAsia="Times New Roman" w:ascii="Times New Roman" w:hAnsi="Times New Roman"/>
          <w:color w:val="0A0A0A"/>
          <w:sz w:val="24"/>
          <w:szCs w:val="24"/>
        </w:rPr>
        <w:t xml:space="preserve">Žáci základních škol, ať již s identifikovanými speciálními vzdělávacími potřebami (SVP) či žáci ostatní (s dočasnou potřebou podpory při adaptaci na školní prostředí apod.) budou mít zajištěnu přiměřenou podporu přímo prostřednictvím personálního standardu školy. Zároveň bude zajištěna výrazná, </w:t>
        <w:br/>
        <w:t xml:space="preserve">v zásadě adresná, podpora pro žáky se závažnými speciálními vzdělávacími potřebami s podpůrnými opatřeními 4. a 5. stupně v rámci maximálního počtu hodin pedagogické práce zabezpečované asistentem pedagoga financované ze státního rozpočtu (dále jen „PHAmax“) nebo tzv. příplatku k normativu (v případě soukromých a církevních škol), aby umožnila individuální práci s těmito žáky. Výrazně se tak sníží vazba dostupnosti podpory prostřednictvím AP na poskytnutí poradenské pomoci a diagnostiky ze strany školských poradenských zařízení. </w:t>
      </w:r>
    </w:p>
    <w:p>
      <w:pPr>
        <w:pStyle w:val="ListParagraph"/>
        <w:spacing w:lineRule="auto" w:line="276" w:before="0" w:after="160"/>
        <w:contextualSpacing w:val="false"/>
        <w:jc w:val="both"/>
        <w:rPr>
          <w:rFonts w:ascii="Times New Roman" w:hAnsi="Times New Roman" w:eastAsia="Times New Roman"/>
          <w:color w:themeColor="text1" w:val="000000"/>
          <w:sz w:val="24"/>
          <w:szCs w:val="24"/>
        </w:rPr>
      </w:pPr>
      <w:r>
        <w:rPr>
          <w:rFonts w:eastAsia="Times New Roman" w:ascii="Times New Roman" w:hAnsi="Times New Roman"/>
          <w:color w:val="0A0A0A"/>
          <w:sz w:val="24"/>
          <w:szCs w:val="24"/>
        </w:rPr>
        <w:t xml:space="preserve">Zákonní zástupci tak budou využívat poradenské pomoci školských poradenských zařízení zejména v situacích, kdy z podnětu školy či z vlastního podnětu dojdou </w:t>
        <w:br/>
        <w:t xml:space="preserve">k závěru, že je tato poradenská pomoc a diagnostika nezbytná s ohledem na specifika vzdělávacích potřeba žáka (a škola jen prostřednictvím svých odborných kapacit </w:t>
        <w:br/>
        <w:t>a nástrojů není schopna vzdělávací potřeby žáka naplnit) - tato pomoc pak</w:t>
      </w:r>
      <w:r>
        <w:rPr>
          <w:rFonts w:eastAsia="Times New Roman" w:ascii="Times New Roman" w:hAnsi="Times New Roman"/>
          <w:color w:themeColor="text1" w:val="000000"/>
          <w:sz w:val="24"/>
          <w:szCs w:val="24"/>
        </w:rPr>
        <w:t xml:space="preserve"> zajistí vysoce individualizovanou metodickou podporu, pravidelné vyhodnocování účinnosti náročných podpůrných opatření a koordinaci odborných intervencí nezbytných pro inkluzivní vzdělávání žáků.</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Základní školy a školní družiny. </w:t>
      </w:r>
      <w:r>
        <w:rPr>
          <w:rFonts w:eastAsia="Times New Roman" w:ascii="Times New Roman" w:hAnsi="Times New Roman"/>
          <w:color w:val="0A0A0A"/>
          <w:sz w:val="24"/>
          <w:szCs w:val="24"/>
        </w:rPr>
        <w:t xml:space="preserve">Ředitelé základních škol a školních družin získají větší pravomoc a flexibilitu při rozdělování práce asistentů pedagoga mezi třídy </w:t>
        <w:br/>
        <w:t>a oddělení. V základních školách a školních družinách zřizovaných krajem, obcí nebo dobrovolným svazkem obcí bude možné nově plánovat personální obsazení na základě PHAmax. V soukromých a církevních základních školách a školních družinách bude možné plánovat personální obsazení obdobně na základě tzv. příplatků (stanovených normativů „na žáka“).</w:t>
      </w:r>
    </w:p>
    <w:p>
      <w:pPr>
        <w:pStyle w:val="ListParagraph"/>
        <w:spacing w:lineRule="auto" w:line="276" w:before="0" w:after="160"/>
        <w:contextualSpacing w:val="false"/>
        <w:jc w:val="both"/>
        <w:rPr>
          <w:rFonts w:ascii="Times New Roman" w:hAnsi="Times New Roman" w:eastAsia="Times New Roman"/>
          <w:color w:val="0078D4"/>
          <w:sz w:val="24"/>
          <w:szCs w:val="24"/>
        </w:rPr>
      </w:pPr>
      <w:r>
        <w:rPr>
          <w:rFonts w:eastAsia="Times New Roman" w:ascii="Times New Roman" w:hAnsi="Times New Roman"/>
          <w:color w:val="0A0A0A"/>
          <w:sz w:val="24"/>
          <w:szCs w:val="24"/>
        </w:rPr>
        <w:t xml:space="preserve">Školy nebudou nuceny zadávat a kontrolovat aktuálnost vykazovaných údajů </w:t>
        <w:br/>
        <w:t xml:space="preserve">o podpůrných opatřeních realizovaných školou za účelem přiznání peněžních prostředků státního rozpočtu (NFN). </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Asistenti pedagoga. </w:t>
      </w:r>
      <w:r>
        <w:rPr>
          <w:rFonts w:eastAsia="Times New Roman" w:ascii="Times New Roman" w:hAnsi="Times New Roman"/>
          <w:color w:val="0A0A0A"/>
          <w:sz w:val="24"/>
          <w:szCs w:val="24"/>
        </w:rPr>
        <w:t>Získají větší pracovní jistotu a stabilitu úvazku, který již nebude přímo vázán na platnost doporučení školského poradenského zařízení, popřípadě přítomnost konkrétního žáka ve škole. Očekává se sjednocení jejich pracovních podmínek a výrazné posílení dalšího vzdělávání a metodické podpory, čímž vzroste jejich odborná kvalita (viz blíže druhá část této zprávy).</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Školská poradenská zařízení (ŠPZ – PPP a SPC). </w:t>
      </w:r>
      <w:r>
        <w:rPr>
          <w:rFonts w:eastAsia="Times New Roman" w:ascii="Times New Roman" w:hAnsi="Times New Roman"/>
          <w:color w:val="0A0A0A"/>
          <w:sz w:val="24"/>
          <w:szCs w:val="24"/>
        </w:rPr>
        <w:t xml:space="preserve">Role školských poradenských zařízení se v oblasti formy podpory poskytované AP v běžných základních školách </w:t>
        <w:br/>
        <w:t xml:space="preserve">a školních družinách stane opět rolí více expertní – ŠPZ na základě provedené diagnostiky vzdělávacích potřeb žáka v kombinaci s posouzením podmínek ve škole, </w:t>
        <w:br/>
        <w:t>v níž se žák vzdělává, ve svém doporučení navrhne škole způsob a rozsah podpory, kterou je důvodné žákovi se speciálními vzdělávacími potřebami při vzdělávání poskytovat. Případně doporučená forma podpory prostřednictvím AP jako takového však již nebude mít podobu podpůrného opatření a sníží se tak administrativní náročnost celého procesu. Tím se školským poradenským zařízením uvolní určité kapacity pro samotnou odbornou diagnostickou a intervenční činnost, byť ostatní formy podpůrných opatření vztahujících se individuálně ke konkrétnímu žákovi se speciálními vzdělávacími potřebami (individuální vzdělávací plán, úprava organizace, metod či obsahu vzdělávání apod.) zůstanou zachovány.</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Zřizovatelé škol (kraje, obce a dobrovolné svazky obcí). </w:t>
      </w:r>
      <w:r>
        <w:rPr>
          <w:rFonts w:eastAsia="Times New Roman" w:ascii="Times New Roman" w:hAnsi="Times New Roman"/>
          <w:color w:val="0A0A0A"/>
          <w:sz w:val="24"/>
          <w:szCs w:val="24"/>
        </w:rPr>
        <w:t>Zřizovatelé budou povinni reflektovat změny v systému financování, zejména u základních škol s nízkou naplněností (pod 15 žáků), kde může vzniknout potřeba dofinancování z rozpočtu zřizovatele.</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Krajské úřady a Magistrát hl. m. Prahy.</w:t>
      </w:r>
      <w:r>
        <w:rPr>
          <w:rFonts w:eastAsia="Times New Roman" w:ascii="Times New Roman" w:hAnsi="Times New Roman"/>
          <w:color w:val="0A0A0A"/>
          <w:sz w:val="24"/>
          <w:szCs w:val="24"/>
        </w:rPr>
        <w:t xml:space="preserve"> V rámci rozpisu přímých výdajů pro základní školy a školní družiny zřizované krajem, obcí nebo dobrovolným svazkem obcí zajistí přidělení finančních prostředků na asistenty pedagoga, případně v průběhu kalendářního roku provádí související úpravy rozpisu. V případě soukromých základních škol a školních družin zajistí poskytnutí příplatku k normativu na žáka základní školy/školní družiny.</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Ministerstvo školství, mládeže a tělovýchovy (MŠMT). </w:t>
      </w:r>
      <w:r>
        <w:rPr>
          <w:rFonts w:eastAsia="Times New Roman" w:ascii="Times New Roman" w:hAnsi="Times New Roman"/>
          <w:color w:val="0A0A0A"/>
          <w:sz w:val="24"/>
          <w:szCs w:val="24"/>
        </w:rPr>
        <w:t>Úřad bude odpovědný za nastavení a každoroční výpočet parametrů financování (PHAmax), stanovení příplatků k normativu pro soukromé a církevní školy (a školní družiny) a za metodické vedení škol v novém systému.</w:t>
      </w:r>
    </w:p>
    <w:p>
      <w:pPr>
        <w:pStyle w:val="ListParagraph"/>
        <w:numPr>
          <w:ilvl w:val="0"/>
          <w:numId w:val="4"/>
        </w:numPr>
        <w:spacing w:lineRule="auto" w:line="276" w:before="0" w:after="160"/>
        <w:contextualSpacing w:val="false"/>
        <w:jc w:val="both"/>
        <w:rPr>
          <w:rFonts w:ascii="Times New Roman" w:hAnsi="Times New Roman" w:eastAsia="Times New Roman"/>
          <w:color w:val="0A0A0A"/>
          <w:sz w:val="24"/>
          <w:szCs w:val="24"/>
        </w:rPr>
      </w:pPr>
      <w:r>
        <w:rPr>
          <w:rFonts w:eastAsia="Times New Roman" w:ascii="Times New Roman" w:hAnsi="Times New Roman"/>
          <w:b/>
          <w:bCs/>
          <w:color w:val="0A0A0A"/>
          <w:sz w:val="24"/>
          <w:szCs w:val="24"/>
        </w:rPr>
        <w:t xml:space="preserve">Ministerstvo práce a sociálních věcí (MPSV). </w:t>
      </w:r>
      <w:r>
        <w:rPr>
          <w:rFonts w:eastAsia="Times New Roman" w:ascii="Times New Roman" w:hAnsi="Times New Roman"/>
          <w:color w:val="0A0A0A"/>
          <w:sz w:val="24"/>
          <w:szCs w:val="24"/>
        </w:rPr>
        <w:t>Úřad bude poskytovat součinnost při předávání statistických dat o žácích z rodin pobírajících dávky v hmotné nouzi (příspěvek na živobytí, doplatek na bydlení).</w:t>
      </w:r>
    </w:p>
    <w:p>
      <w:pPr>
        <w:pStyle w:val="Heading1"/>
        <w:numPr>
          <w:ilvl w:val="0"/>
          <w:numId w:val="5"/>
        </w:numPr>
        <w:ind w:hanging="284" w:start="284"/>
        <w:rPr>
          <w:lang w:eastAsia="cs-CZ"/>
        </w:rPr>
      </w:pPr>
      <w:r>
        <w:rPr/>
        <w:t>Zhodnocení sociálních dopadů, včetně dopadů na specifické skupiny obyvatel, zejména osoby sociálně slabé, osoby se zdravotním postižením a národnostní menšiny, dopadů na ochranu práv dětí a dopadů na životní prostředí</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Navržený systém zajistí personální podmínky v základních školách a školních družinách v takovém rozsahu, aby mohla být zajištěna individuální podpora žákům, kteří podporu potřebují. Parametry budou navrženy tak, aby byla stále možná dostatečná individualizace při vzdělávání. Výrazná (individualizovaná) podpora je návrhem směřována za žáky </w:t>
        <w:br/>
        <w:t>s nejvyššími stupni podpůrných opatření (4. a 5. stupně PO).</w:t>
      </w:r>
    </w:p>
    <w:p>
      <w:pPr>
        <w:pStyle w:val="Heading1"/>
        <w:numPr>
          <w:ilvl w:val="0"/>
          <w:numId w:val="5"/>
        </w:numPr>
        <w:ind w:hanging="284" w:start="284"/>
        <w:rPr/>
      </w:pPr>
      <w:r>
        <w:rPr/>
        <w:t>Zhodnocení dopadů navrhovaného řešení ve vztahu k ochraně soukromí a osobních údajů, které musí obsahovat vysvětlení účelu navrhovaného zpracování osobních údajů a popis návaznosti na stávající nebo již připravovaná zpracování osobních údajů, posouzení navrhovaného řešení zpracování z hlediska nezbytnosti a přiměřenosti ve vztahu k jím sledovanému účelu a posouzení rizik pro práva a svobody fyzických osob a možných opatření k jejich snížení (DPIA)</w:t>
      </w:r>
    </w:p>
    <w:p>
      <w:pPr>
        <w:pStyle w:val="Normal"/>
        <w:spacing w:lineRule="auto" w:line="276"/>
        <w:ind w:start="357"/>
        <w:jc w:val="both"/>
        <w:rPr>
          <w:rFonts w:ascii="Times New Roman" w:hAnsi="Times New Roman"/>
          <w:sz w:val="24"/>
          <w:szCs w:val="24"/>
        </w:rPr>
      </w:pPr>
      <w:r>
        <w:rPr>
          <w:rFonts w:ascii="Times New Roman" w:hAnsi="Times New Roman"/>
          <w:sz w:val="24"/>
          <w:szCs w:val="24"/>
        </w:rPr>
        <w:t>Návrh zakládá nový, popřípadě nově strukturovaný způsob využití údajů pro účely stanovení financování činnosti asistentů pedagoga v základních školách a školních družinách. Pro stanovení parametrů maximálního počtu hodin přímé pedagogické činnosti asistenta pedagoga financovaného ze státního rozpočtu (PHAmax) budou využívány údaje vedené Ministerstvem školství, mládeže a tělovýchovy (dále jen „MŠMT“) a agregované statistické údaje vytvořené z údajů vedených v působnosti Ministerstva práce a sociálních věcí (dále jen „MPSV“).</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Účel zpracování: Účelem využití údajů je výhradně nastavení parametrů financování personální podpory škol, zejména výpočet PHAmax a souvisejících parametrů financování činnosti asistentů pedagoga. Údaje nebudou využívány k rozhodování o konkrétním dítěti, žákovi, zákonném zástupci nebo domácnosti.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Popis zpracování: MŠMT bude pro účely výpočtu PHAmax využívat údaje, které má </w:t>
        <w:br/>
        <w:t xml:space="preserve">k dispozici v rámci výkonu svých zákonných působností ve školství. Vedle toho budou využity agregované statistické údaje o počtu žáků z rodin, které pobírají dávku státní sociální pomoci – složku hmotná nouze, a to na úrovni školy. MŠMT nebude předávat individuální údaje o konkrétních dětech, žácích, zákonných zástupcích ani domácnostech.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Právní základ a role subjektů: Právním základem zpracování je plnění úkolu ve veřejném zájmu a výkon veřejné moci při organizaci a financování vzdělávací soustavy podle školského zákona, ve smyslu čl. 6 odst. 1 písm. e) a čl. 6 odst. 3 nařízení Evropského parlamentu a Rady (EU) 2016/679 (GDPR).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MŠMT bude správcem údajů využívaných pro výpočet PHAmax. MPSV zajistí vytvoření a předání pouze agregovaných statistických výstupů v rozsahu nezbytném pro stanovený účel.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Nezbytnost a přiměřenost: Využití agregovaných údajů o sociálním znevýhodnění žáků je nezbytné pro přesnější a spravedlivější nastavení financování asistentů pedagoga podle objektivních parametrů školy. Méně invazivní prostředek, který by umožnil dosáhnout téhož účelu se srovnatelnou přesností a bez využití údajů o sociálním znevýhodnění, nebyl identifikován.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Zpracování v agregované podobě je přiměřené, nebude zahrnovat individuální údaje </w:t>
        <w:br/>
        <w:t xml:space="preserve">a nebude sloužit k rozhodování o konkrétních osobách. Tím je naplněna zásada minimalizace údajů podle čl. 5 odst. 1 písm. c) GDPR.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Rizika pro práva a svobody fyzických osob: Hlavním rizikem je možnost zpětné identifikace dítěte, žáka nebo domácnosti, zejména u malých škol, malých obcí nebo nízkých četností. Dalším rizikem je stigmatizace žáků nebo škol na základě sociálního znevýhodnění. Riziko představuje také případné sekundární využití údajů k jinému účelu, než je financování personální podpory škol. </w:t>
      </w:r>
    </w:p>
    <w:p>
      <w:pPr>
        <w:pStyle w:val="Normal"/>
        <w:spacing w:lineRule="auto" w:line="276"/>
        <w:ind w:start="357"/>
        <w:jc w:val="both"/>
        <w:rPr>
          <w:rFonts w:ascii="Times New Roman" w:hAnsi="Times New Roman"/>
          <w:sz w:val="24"/>
          <w:szCs w:val="24"/>
        </w:rPr>
      </w:pPr>
      <w:r>
        <w:rPr>
          <w:rFonts w:ascii="Times New Roman" w:hAnsi="Times New Roman"/>
          <w:sz w:val="24"/>
          <w:szCs w:val="24"/>
        </w:rPr>
        <w:t xml:space="preserve">Opatření ke snížení rizik: Rizika budou snížena zejména tím, že MŠMT nebude předávat individuální údaje, ale pouze agregované statistické výstupy. Při tvorbě a předávání údajů budou použita pravidla minimální četnosti, potlačení malých hodnot, případně intervalové vyjádření hodnot. Údaje budou použity pouze pro výpočet parametrů financování </w:t>
        <w:br/>
        <w:t>a nebudou poskytovány školám, zřizovatelům ani jiným subjektům v podobě umožňující identifikaci konkrétních dětí, žáků, zákonných zástupců nebo domácností. Přístup k údajům bude omezen na pověřené osoby a bude technicky a organizačně zabezpečen.</w:t>
      </w:r>
    </w:p>
    <w:p>
      <w:pPr>
        <w:pStyle w:val="Heading1"/>
        <w:numPr>
          <w:ilvl w:val="0"/>
          <w:numId w:val="5"/>
        </w:numPr>
        <w:ind w:hanging="284" w:start="284"/>
        <w:rPr/>
      </w:pPr>
      <w:r>
        <w:rPr/>
        <w:t xml:space="preserve">Zhodnocení korupčních rizik </w:t>
      </w:r>
    </w:p>
    <w:p>
      <w:pPr>
        <w:pStyle w:val="Normal"/>
        <w:tabs>
          <w:tab w:val="clear" w:pos="708"/>
          <w:tab w:val="left" w:pos="1037" w:leader="none"/>
        </w:tabs>
        <w:spacing w:lineRule="auto" w:line="276"/>
        <w:ind w:start="357"/>
        <w:jc w:val="both"/>
        <w:rPr>
          <w:rFonts w:ascii="Times New Roman" w:hAnsi="Times New Roman"/>
          <w:sz w:val="24"/>
          <w:szCs w:val="24"/>
        </w:rPr>
      </w:pPr>
      <w:r>
        <w:rPr>
          <w:rFonts w:eastAsia="Times New Roman" w:ascii="Times New Roman" w:hAnsi="Times New Roman"/>
          <w:color w:themeColor="text1" w:val="000000"/>
          <w:sz w:val="24"/>
          <w:szCs w:val="24"/>
        </w:rPr>
        <w:t>Návrh snižuje potenciální korupční rizika, neboť snižuje vázanost podpory na individuální rozhodovací činnost zapojených aktérů (zejména ředitelů škol a školských poradenských zařízení).</w:t>
      </w:r>
    </w:p>
    <w:p>
      <w:pPr>
        <w:pStyle w:val="Heading1"/>
        <w:numPr>
          <w:ilvl w:val="0"/>
          <w:numId w:val="5"/>
        </w:numPr>
        <w:ind w:hanging="284" w:start="284"/>
        <w:rPr/>
      </w:pPr>
      <w:r>
        <w:rPr/>
        <w:t>Zhodnocení dopadů na bezpečnost nebo obranu státu</w:t>
      </w:r>
    </w:p>
    <w:p>
      <w:pPr>
        <w:pStyle w:val="Normal"/>
        <w:ind w:start="284"/>
        <w:rPr>
          <w:rFonts w:ascii="Times New Roman" w:hAnsi="Times New Roman"/>
          <w:sz w:val="24"/>
          <w:szCs w:val="24"/>
        </w:rPr>
      </w:pPr>
      <w:r>
        <w:rPr>
          <w:rFonts w:ascii="Times New Roman" w:hAnsi="Times New Roman"/>
          <w:sz w:val="24"/>
          <w:szCs w:val="24"/>
        </w:rPr>
        <w:t>Navrhovaný zákon nemá žádný dopad na bezpečnost nebo obranu státu. Předložený návrh se týká výhradně oblasti regionálního školství a úpravy podmínek pro poskytování personální podpory v základních školách a školních družinách.</w:t>
      </w:r>
    </w:p>
    <w:p>
      <w:pPr>
        <w:pStyle w:val="Heading1"/>
        <w:numPr>
          <w:ilvl w:val="0"/>
          <w:numId w:val="5"/>
        </w:numPr>
        <w:ind w:hanging="284" w:start="284"/>
        <w:rPr/>
      </w:pPr>
      <w:r>
        <w:rPr/>
        <w:t>Zhodnocení dopadů na rodiny, zejména s ohledem na plnění funkcí rodiny, s ohledem na počet vyživovaných členů, na případnou přítomnost hendikepovaných členů a rodiny samoživitelů, rodiny se třemi a více dětmi a další specifické životní situace, dále s ohledem na posílení integrity a stability rodiny a posílení rodinné harmonie, lepší rovnováhy mezi prací a rodinou a na posílení mezigeneračních a širších příbuzenských vztahů</w:t>
      </w:r>
    </w:p>
    <w:p>
      <w:pPr>
        <w:pStyle w:val="Normal"/>
        <w:spacing w:lineRule="auto" w:line="276"/>
        <w:ind w:start="284"/>
        <w:jc w:val="both"/>
        <w:rPr>
          <w:rFonts w:ascii="Times New Roman" w:hAnsi="Times New Roman"/>
          <w:sz w:val="24"/>
          <w:szCs w:val="24"/>
        </w:rPr>
      </w:pPr>
      <w:r>
        <w:rPr>
          <w:rFonts w:eastAsia="Times New Roman" w:ascii="Times New Roman" w:hAnsi="Times New Roman"/>
          <w:color w:themeColor="text1" w:val="000000"/>
          <w:sz w:val="24"/>
          <w:szCs w:val="24"/>
        </w:rPr>
        <w:t xml:space="preserve">Návrh snižuje vázanost adekvátní podpory při vzdělávání žáků základních škol na aktivním zapojení zákonných zástupců žáků základních škol; návrh zvyšuje kompetence a prostor pro vedení základních škol zacílit adekvátní podporu na všechny potřebné žáky, nejenom žáky s diagnostikovaným speciálními vzdělávacími potřebami, ale též žáky nadané, žáky </w:t>
        <w:br/>
        <w:t>s dočasnou potřebou podpory či žáky z méně podnětného sociálního prostředí.</w:t>
      </w:r>
    </w:p>
    <w:p>
      <w:pPr>
        <w:pStyle w:val="Heading1"/>
        <w:numPr>
          <w:ilvl w:val="0"/>
          <w:numId w:val="5"/>
        </w:numPr>
        <w:ind w:hanging="284" w:start="284"/>
        <w:rPr/>
      </w:pPr>
      <w:r>
        <w:rPr/>
        <w:t>Zhodnocení územních dopadů, včetně dopadů na územní samosprávné celky</w:t>
      </w:r>
    </w:p>
    <w:p>
      <w:pPr>
        <w:pStyle w:val="Normal"/>
        <w:spacing w:lineRule="auto" w:line="276"/>
        <w:ind w:start="284"/>
        <w:jc w:val="both"/>
        <w:rPr>
          <w:rFonts w:ascii="Times New Roman" w:hAnsi="Times New Roman"/>
          <w:sz w:val="24"/>
          <w:szCs w:val="24"/>
        </w:rPr>
      </w:pPr>
      <w:r>
        <w:rPr>
          <w:rFonts w:eastAsia="Times New Roman" w:ascii="Times New Roman" w:hAnsi="Times New Roman"/>
          <w:color w:themeColor="text1" w:val="000000"/>
          <w:sz w:val="24"/>
          <w:szCs w:val="24"/>
        </w:rPr>
        <w:t xml:space="preserve">Podpora prostřednictvím asistentů pedagoga se výrazně liší mezi regiony a školami, </w:t>
        <w:br/>
        <w:t xml:space="preserve">a to i těmi s podobnou strukturou (PAQ, </w:t>
      </w:r>
      <w:hyperlink r:id="rId21">
        <w:r>
          <w:rPr>
            <w:rStyle w:val="Hyperlink"/>
            <w:rFonts w:eastAsia="Times New Roman" w:ascii="Times New Roman" w:hAnsi="Times New Roman"/>
            <w:sz w:val="24"/>
            <w:szCs w:val="24"/>
          </w:rPr>
          <w:t>2025</w:t>
        </w:r>
      </w:hyperlink>
      <w:r>
        <w:rPr>
          <w:rFonts w:eastAsia="Times New Roman" w:ascii="Times New Roman" w:hAnsi="Times New Roman"/>
          <w:color w:themeColor="text1" w:val="000000"/>
          <w:sz w:val="24"/>
          <w:szCs w:val="24"/>
        </w:rPr>
        <w:t>). Podpora je závislá od řady rozhodnutí na straně škol, školských poradenských zařízení a dalších aktérů. Tím je z pohledu státu obtížné zaručit podporu všem žákům, kteří ji potřebují. Jedním z cílů tohoto návrhu je zmírnit tyto nedůvodné regionální (lokální) rozdíly.</w:t>
      </w:r>
    </w:p>
    <w:p>
      <w:pPr>
        <w:pStyle w:val="Normal"/>
        <w:tabs>
          <w:tab w:val="clear" w:pos="708"/>
          <w:tab w:val="left" w:pos="1037" w:leader="none"/>
        </w:tabs>
        <w:spacing w:lineRule="auto" w:line="276"/>
        <w:ind w:start="284"/>
        <w:jc w:val="both"/>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4"/>
          <w:szCs w:val="24"/>
        </w:rPr>
        <w:t xml:space="preserve">Dále je třeba zmínit, že v souvislosti s aplikací § 23 odst. 4 školského zákona v případě, </w:t>
        <w:br/>
        <w:t xml:space="preserve">že základní škola či školní družina nesplňuje podmínky nejnižšího počtu žáků stanoveného školským zákonem či příslušným prováděcím právních předpisem, vzniká zřizovateli </w:t>
        <w:br/>
        <w:t>v souvislosti s povolením výjimky z tohoto počtu zákonná povinnost dofinancovat zvýšené výdaje na vzdělávací činnost školy, a to nad výši stanovenou podle § 161 až 162 školského zákona.</w:t>
      </w:r>
    </w:p>
    <w:p>
      <w:pPr>
        <w:pStyle w:val="Heading1"/>
        <w:numPr>
          <w:ilvl w:val="0"/>
          <w:numId w:val="5"/>
        </w:numPr>
        <w:ind w:hanging="284" w:start="284"/>
        <w:rPr/>
      </w:pPr>
      <w:r>
        <w:rPr/>
        <w:t>Zhodnocení souladu navrhovaného řešení se zásadami tvorby digitálně přívětivé legislativy, včetně zhodnocení rizika vyloučení nebo omezení možnosti přístupu specifických skupin osob k některým službám v důsledku digitalizace jejich poskytování (digitální vyloučení)</w:t>
      </w:r>
    </w:p>
    <w:p>
      <w:pPr>
        <w:pStyle w:val="Normal"/>
        <w:ind w:start="284"/>
        <w:jc w:val="both"/>
        <w:rPr/>
      </w:pPr>
      <w:r>
        <w:rPr>
          <w:rFonts w:ascii="Times New Roman" w:hAnsi="Times New Roman"/>
          <w:sz w:val="24"/>
          <w:szCs w:val="24"/>
        </w:rPr>
        <w:t>Návrh je v souladu se zásadami tvorby digitálně přívětivé legislativy. Model financování pracuje primárně s daty, která má MŠMT již k dispozici, a s anonymizovanými údaji přebíranými z registrů MPSV na základě nahlášené agendy v Registru práv a povinností. Pro dotčené subjekty nevznikají žádné nové digitální povinnosti ani se nezavádí nové elektronické služby, naopak dochází ke snížení administrativní zátěže škol odbouráním duplicitního vykazování dat. Z tohoto důvodu je zcela eliminováno riziko digitálního vyloučení jakýchkoliv skupin osob.</w:t>
      </w:r>
    </w:p>
    <w:p>
      <w:pPr>
        <w:pStyle w:val="Heading1"/>
        <w:numPr>
          <w:ilvl w:val="0"/>
          <w:numId w:val="5"/>
        </w:numPr>
        <w:ind w:hanging="284" w:start="284"/>
        <w:rPr/>
      </w:pPr>
      <w:r>
        <w:rPr/>
        <w:t>Informace dle zákona o regulaci lobbování</w:t>
      </w:r>
    </w:p>
    <w:p>
      <w:pPr>
        <w:pStyle w:val="Normal"/>
        <w:spacing w:lineRule="auto" w:line="276"/>
        <w:ind w:start="284"/>
        <w:jc w:val="both"/>
        <w:rPr>
          <w:rFonts w:ascii="Times New Roman" w:hAnsi="Times New Roman" w:eastAsia="Times New Roman"/>
          <w:sz w:val="24"/>
          <w:szCs w:val="24"/>
        </w:rPr>
      </w:pPr>
      <w:r>
        <w:rPr>
          <w:rFonts w:eastAsia="Times New Roman" w:ascii="Times New Roman" w:hAnsi="Times New Roman"/>
          <w:sz w:val="24"/>
          <w:szCs w:val="24"/>
        </w:rPr>
        <w:t>Navrhovaná právní úprava nebyla předmětem lobbování a je projednávána zcela v souladu se zákonem č. 168/2025 Sb., o regulaci lobbování.</w:t>
      </w:r>
    </w:p>
    <w:p>
      <w:pPr>
        <w:pStyle w:val="Normal"/>
        <w:spacing w:lineRule="auto" w:line="276"/>
        <w:ind w:start="284"/>
        <w:jc w:val="both"/>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4"/>
          <w:szCs w:val="24"/>
        </w:rPr>
      </w:r>
    </w:p>
    <w:p>
      <w:pPr>
        <w:pStyle w:val="Normal"/>
        <w:spacing w:lineRule="auto" w:line="276"/>
        <w:ind w:start="284"/>
        <w:jc w:val="both"/>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4"/>
          <w:szCs w:val="24"/>
        </w:rPr>
        <w:t>Návrh byl před jeho předložením do vnějšího připomínkového řízení z iniciativy Ministerstva školství, mládeže a tělovýchovy konzultován s následujícími partnery:</w:t>
      </w:r>
    </w:p>
    <w:p>
      <w:pPr>
        <w:pStyle w:val="Normal"/>
        <w:spacing w:lineRule="auto" w:line="276"/>
        <w:ind w:start="284"/>
        <w:jc w:val="both"/>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4"/>
          <w:szCs w:val="24"/>
        </w:rPr>
        <w:t>Asociace ředitelů základních škol, Svaz měst a obcí, Sdružení místních samospráv, ČMOS PŠ, Asociace krajů České republiky, Asociace pracovníků pedagogicko-psychologických poraden, Asociace speciálních pedagogů, Asociace pracovníků speciálně pedagogických center, SOFA, SKAV, Učitelská platforma, veřejný ochránce práv, Ministerstvo financí, Sdružení soukromých škol Čech, Moravy a Slezska a Asociace ředitelů církevních škol.</w:t>
      </w:r>
    </w:p>
    <w:p>
      <w:pPr>
        <w:pStyle w:val="Normal"/>
        <w:spacing w:lineRule="auto" w:line="276"/>
        <w:jc w:val="both"/>
        <w:rPr>
          <w:rFonts w:ascii="Times New Roman" w:hAnsi="Times New Roman"/>
          <w:sz w:val="24"/>
          <w:szCs w:val="24"/>
        </w:rPr>
      </w:pPr>
      <w:r>
        <w:rPr>
          <w:rFonts w:ascii="Times New Roman" w:hAnsi="Times New Roman"/>
          <w:sz w:val="24"/>
          <w:szCs w:val="24"/>
        </w:rPr>
      </w:r>
      <w:r>
        <w:br w:type="page"/>
      </w:r>
    </w:p>
    <w:p>
      <w:pPr>
        <w:pStyle w:val="Title"/>
        <w:spacing w:lineRule="auto" w:line="276" w:before="0" w:after="160"/>
        <w:jc w:val="both"/>
        <w:rPr>
          <w:iCs/>
          <w:szCs w:val="24"/>
          <w:u w:val="single"/>
        </w:rPr>
      </w:pPr>
      <w:r>
        <w:rPr>
          <w:iCs/>
          <w:szCs w:val="24"/>
          <w:u w:val="single"/>
        </w:rPr>
        <w:t>B. ZVLÁŠTNÍ ČÁST</w:t>
      </w:r>
    </w:p>
    <w:p>
      <w:pPr>
        <w:pStyle w:val="Normal"/>
        <w:spacing w:lineRule="auto" w:line="276"/>
        <w:jc w:val="both"/>
        <w:rPr>
          <w:rFonts w:ascii="Times New Roman" w:hAnsi="Times New Roman"/>
          <w:sz w:val="24"/>
          <w:szCs w:val="24"/>
        </w:rPr>
      </w:pPr>
      <w:r>
        <w:rPr>
          <w:rFonts w:ascii="Times New Roman" w:hAnsi="Times New Roman"/>
          <w:sz w:val="24"/>
          <w:szCs w:val="24"/>
        </w:rPr>
      </w:r>
    </w:p>
    <w:p>
      <w:pPr>
        <w:pStyle w:val="Normal"/>
        <w:spacing w:lineRule="auto" w:line="276"/>
        <w:jc w:val="both"/>
        <w:rPr>
          <w:rFonts w:ascii="Times New Roman" w:hAnsi="Times New Roman"/>
          <w:b/>
          <w:bCs/>
          <w:sz w:val="24"/>
          <w:szCs w:val="24"/>
        </w:rPr>
      </w:pPr>
      <w:r>
        <w:rPr>
          <w:rFonts w:ascii="Times New Roman" w:hAnsi="Times New Roman"/>
          <w:b/>
          <w:bCs/>
          <w:sz w:val="24"/>
          <w:szCs w:val="24"/>
        </w:rPr>
        <w:t>ČÁST PRVNÍ – školský zákon</w:t>
      </w:r>
    </w:p>
    <w:p>
      <w:pPr>
        <w:pStyle w:val="Normal"/>
        <w:spacing w:lineRule="auto" w:line="276"/>
        <w:jc w:val="both"/>
        <w:rPr>
          <w:rFonts w:ascii="Times New Roman" w:hAnsi="Times New Roman"/>
          <w:b/>
          <w:bCs/>
          <w:sz w:val="24"/>
          <w:szCs w:val="24"/>
        </w:rPr>
      </w:pPr>
      <w:r>
        <w:rPr>
          <w:rFonts w:ascii="Times New Roman" w:hAnsi="Times New Roman"/>
          <w:b/>
          <w:bCs/>
          <w:sz w:val="24"/>
          <w:szCs w:val="24"/>
        </w:rPr>
        <w:t>Čl. I</w:t>
      </w:r>
    </w:p>
    <w:p>
      <w:pPr>
        <w:pStyle w:val="Normal"/>
        <w:spacing w:lineRule="auto" w:line="276"/>
        <w:jc w:val="both"/>
        <w:rPr>
          <w:rFonts w:ascii="Times New Roman" w:hAnsi="Times New Roman"/>
          <w:b/>
          <w:bCs/>
          <w:sz w:val="24"/>
          <w:szCs w:val="24"/>
        </w:rPr>
      </w:pPr>
      <w:r>
        <w:rPr>
          <w:rFonts w:ascii="Times New Roman" w:hAnsi="Times New Roman"/>
          <w:b/>
          <w:bCs/>
          <w:sz w:val="24"/>
          <w:szCs w:val="24"/>
        </w:rPr>
        <w:t xml:space="preserve">K bodu 1 a 7 </w:t>
      </w:r>
    </w:p>
    <w:p>
      <w:pPr>
        <w:pStyle w:val="Normal"/>
        <w:spacing w:lineRule="auto" w:line="276"/>
        <w:jc w:val="both"/>
        <w:rPr>
          <w:rFonts w:ascii="Times New Roman" w:hAnsi="Times New Roman"/>
          <w:b/>
          <w:sz w:val="24"/>
          <w:szCs w:val="24"/>
        </w:rPr>
      </w:pPr>
      <w:r>
        <w:rPr>
          <w:rFonts w:ascii="Times New Roman" w:hAnsi="Times New Roman"/>
          <w:b/>
          <w:sz w:val="24"/>
          <w:szCs w:val="24"/>
        </w:rPr>
        <w:t xml:space="preserve">§ 16 odst. 11 a 12, § 18a </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Jedná se o legislativně – technickou změnu s ohledem na systematiku zákona. Původní </w:t>
        <w:br/>
        <w:t>§ 16 odst. 11 a 12 byl nově zaveden pod společný nadpis „Pravidla výkonu činnosti některých podpůrných pedagogických pracovníků“ jako nový § 18a. Pod tímto společným nadpisem bude upravena nejen činnost psychologů a speciálních pedagogů, ale rovněž asistenta pedagoga. Na samotných textech odstavců 11 a 12, které jsou nyní zařazeny v §16, se téměř nic nemění. Dochází pouze ke změně v dosavadním § 16 odst. 12 (nově § 18a odst. 2), kde se slovo „nezbytné“ nahrazuje slovem „důvodné“ a také k úpravě začátku odstavce 12. Úprava sleduje terminologii nyní užitou v §18b odst. 2 ve vztahu k asistentovi pedagoga. Nezbytnost byla přísnějším kritériem, kdežto důvodnost dává řediteli školy o něco větší volnost v posouzení toho, kde je „důvodné“ psychologa nebo speciálního pedagoga žádoucí využít. Důvodnost bude navíc vyhodnocena i na základě nezávazného doporučení školským poradenským zařízením, které má i nadále možnost se vyjadřovat k potřebnosti/důvodnosti využití psychologa nebo speciálního pedagoga.</w:t>
      </w:r>
    </w:p>
    <w:p>
      <w:pPr>
        <w:pStyle w:val="Normal"/>
        <w:spacing w:lineRule="auto" w:line="276"/>
        <w:jc w:val="both"/>
        <w:rPr>
          <w:rFonts w:ascii="Times New Roman" w:hAnsi="Times New Roman"/>
          <w:b/>
          <w:sz w:val="24"/>
          <w:szCs w:val="24"/>
        </w:rPr>
      </w:pPr>
      <w:r>
        <w:rPr>
          <w:rFonts w:ascii="Times New Roman" w:hAnsi="Times New Roman"/>
          <w:b/>
          <w:sz w:val="24"/>
          <w:szCs w:val="24"/>
        </w:rPr>
        <w:t>§ 18b</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Návrhem se upravuje tzv. institucionalizace asistentů pedagoga, což znamená, že podpůrné opatření asistent pedagoga nebude moci být nově poskytováno žákovi základní školy a účastníkovi školní družiny zřizované krajem, obcí nebo svazkem obcí, která má nárok na financování činnosti asistenta pedagoga ze státního rozpočtu na základě nařízení vlády vydaného podle § 161 odst. 5, resp. na základě vyhlášky vydané podle § 161c odst. 2 písm. c). </w:t>
      </w:r>
    </w:p>
    <w:p>
      <w:pPr>
        <w:pStyle w:val="Normal"/>
        <w:spacing w:lineRule="auto" w:line="276"/>
        <w:jc w:val="both"/>
        <w:rPr>
          <w:rFonts w:ascii="Times New Roman" w:hAnsi="Times New Roman"/>
          <w:sz w:val="24"/>
          <w:szCs w:val="24"/>
        </w:rPr>
      </w:pPr>
      <w:r>
        <w:rPr>
          <w:rFonts w:ascii="Times New Roman" w:hAnsi="Times New Roman"/>
          <w:sz w:val="24"/>
          <w:szCs w:val="24"/>
        </w:rPr>
        <w:t>Již s účinností od 1. ledna 2020 nelze podpůrné opatření asistenta pedagoga poskytovat dítěti mateřské školy zřízené podle § 16 odst. 9 nebo třídy zřízené podle § 16 odst. 9 v mateřské škole, dítěti třídy přípravného stupně základní školy speciální, žákovi oboru vzdělání praktická škola jednoletá nebo praktická škola dvouletá a žákovi školy při školském zařízení pro výkon ústavní výchovy nebo ochranné výchovy. Tato úprava se tedy pouze přenáší ze stávající úpravy ve vyhlášce č. 27/2016 Sb., o vzdělávání žáků se speciálními vzdělávacími potřebami a žáků nadaných, ve znění pozdějších předpisů, aby byla tzv. institucionalizace asistentů pedagoga upravena jednotně.</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Řediteli školy nebo školského zařízení uvedeného v § 18a odst. 1 zřizovaného krajem, obcí nebo svazkem obcí se nově zavádí povinnost zajistit práci asistenta pedagoga v rozsahu maximálního týdenního počtu hodin přímé pedagogické činnosti financované ze státního rozpočtu na základě </w:t>
      </w:r>
      <w:r>
        <w:rPr>
          <w:rFonts w:eastAsia="Times New Roman" w:ascii="Times New Roman" w:hAnsi="Times New Roman"/>
          <w:color w:themeColor="text1" w:val="000000"/>
          <w:sz w:val="24"/>
          <w:szCs w:val="24"/>
        </w:rPr>
        <w:t>nařízení vlády vydaného podle § 161 odst. 5 a prováděcího právního předpisu vydaného podle § 161c odst. 2 písm. c), je-li to vzhledem k vzdělávacím potřebám dítěte nebo dětí, žáka nebo žáků či účastníka nebo účastníků důvodné.</w:t>
      </w:r>
      <w:r>
        <w:rPr>
          <w:rFonts w:ascii="Times New Roman" w:hAnsi="Times New Roman"/>
          <w:sz w:val="24"/>
          <w:szCs w:val="24"/>
        </w:rPr>
        <w:t xml:space="preserve"> </w:t>
      </w:r>
    </w:p>
    <w:p>
      <w:pPr>
        <w:pStyle w:val="Normal"/>
        <w:spacing w:lineRule="auto" w:line="276"/>
        <w:jc w:val="both"/>
        <w:rPr>
          <w:rFonts w:ascii="Times New Roman" w:hAnsi="Times New Roman"/>
          <w:sz w:val="24"/>
          <w:szCs w:val="24"/>
        </w:rPr>
      </w:pPr>
      <w:r>
        <w:rPr>
          <w:rFonts w:ascii="Times New Roman" w:hAnsi="Times New Roman"/>
          <w:sz w:val="24"/>
          <w:szCs w:val="24"/>
        </w:rPr>
        <w:t>Obdobně platí tato povinnost také pro ředitele školy nebo školského zařízení, která není zřizována krajem, obcí nebo svazkem obcí.</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Záměrně je povinnost ředitele školy zajistit práci asistenta pedagoga v rámci stanoveného PHAmax vztažena nikoliv pouze k potřebám žáků se speciálními vzdělávacími potřebami, ale k potřebám všech žáků (za účelem zajištění adaptace, dočasné intervence, podpory žáků nadaných apod.). Důvodnost zajištění práce asistenta pedagoga bude dána vždy, pokud podporu formou asistenta pedagoga při určitých činnostech či vzdělávacích oblastech doporučí školské poradenské zařízení ve svém doporučení pro práci se žákem se speciálními vzdělávacími potřebami. S ohledem na to, že předkládaný návrh zákona mimo jiné upravuje </w:t>
        <w:br/>
        <w:t xml:space="preserve">i povahu zmocnění v § 19 tak, že se systematicky zmocnění bude nově týkat obecně celého školského zákona, nebude již § 19 dopadat pouze na vzdělávání dětí, žáků a studentů se speciálními vzdělávacími potřebami a dětí, žáků a studentů nadaných.  </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Díky tomu budou moci být na úrovni prováděcích právních předpisů také blíže upraveny podmínky pro využití asistenta pedagoga a pravidla jeho činnosti a podmínky působení osob poskytujících dítěti, žákovi nebo studentovi po dobu jeho pobytu ve škole nebo školském zařízení podporu podle zvláštních právních předpisů.  </w:t>
      </w:r>
    </w:p>
    <w:p>
      <w:pPr>
        <w:pStyle w:val="Normal"/>
        <w:spacing w:lineRule="auto" w:line="276"/>
        <w:jc w:val="both"/>
        <w:rPr>
          <w:rFonts w:ascii="Times New Roman" w:hAnsi="Times New Roman"/>
          <w:sz w:val="24"/>
          <w:szCs w:val="24"/>
        </w:rPr>
      </w:pPr>
      <w:r>
        <w:rPr>
          <w:rFonts w:ascii="Times New Roman" w:hAnsi="Times New Roman"/>
          <w:sz w:val="24"/>
          <w:szCs w:val="24"/>
        </w:rPr>
        <w:t>Předpokládá se tedy, že na úrovni prováděcích právních předpisů budou blíže specifikovány podmínky pro využívání asistenta pedagoga tak, aby byla i blíže specifikována důvodnost využívání asistenta pedagoga.</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Zavedením institucionalizace asistentů pedagoga skončí s účinností zákona platnost doporučení podpůrného opatření spočívajícího ve využití asistenta pedagoga na základní školy nebo ve školní družině, resp. základní školy nebo školní družiny již nebudou moci toto podpůrné opatření nadále poskytovat. </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2 – </w:t>
      </w:r>
      <w:r>
        <w:rPr>
          <w:rFonts w:ascii="Times New Roman" w:hAnsi="Times New Roman"/>
          <w:sz w:val="24"/>
          <w:szCs w:val="24"/>
        </w:rPr>
        <w:t>§ 16a</w:t>
      </w:r>
    </w:p>
    <w:p>
      <w:pPr>
        <w:pStyle w:val="Normal"/>
        <w:jc w:val="both"/>
        <w:rPr>
          <w:rFonts w:ascii="Times New Roman" w:hAnsi="Times New Roman" w:eastAsia="Times New Roman"/>
          <w:sz w:val="24"/>
          <w:szCs w:val="24"/>
          <w:lang w:val="cs-CZ" w:eastAsia="cs-CZ"/>
        </w:rPr>
      </w:pPr>
      <w:r>
        <w:rPr>
          <w:rFonts w:eastAsia="Times New Roman" w:ascii="Times New Roman" w:hAnsi="Times New Roman"/>
          <w:sz w:val="24"/>
          <w:szCs w:val="24"/>
          <w:lang w:val="cs-CZ" w:eastAsia="cs-CZ"/>
        </w:rPr>
        <w:t>V § 16a odst. 2 školského zákona se navrhuje nahradit postup, kdy škola doporučuje zákonnému zástupci, aby vyhledal pomoc školského poradenského zařízení, postupem, kdy škola zákonného zástupce k vyhledání pomoci vyzve. Posílení důrazu aktivity školy vůči zákonnému zástupci lépe odpovídá tomu, že sledovaný cíl, tedy zajištění pomoci školského poradenského zařízení, má být podle § 16a odst. 2 v zájmu žáka.</w:t>
      </w:r>
    </w:p>
    <w:p>
      <w:pPr>
        <w:pStyle w:val="Normal"/>
        <w:spacing w:lineRule="auto" w:line="276"/>
        <w:jc w:val="both"/>
        <w:rPr>
          <w:rFonts w:ascii="Times New Roman" w:hAnsi="Times New Roman" w:eastAsia="Times New Roman"/>
          <w:sz w:val="24"/>
          <w:szCs w:val="24"/>
          <w:lang w:val="cs-CZ" w:eastAsia="cs-CZ"/>
        </w:rPr>
      </w:pPr>
      <w:r>
        <w:rPr>
          <w:rFonts w:eastAsia="Times New Roman" w:ascii="Times New Roman" w:hAnsi="Times New Roman"/>
          <w:sz w:val="24"/>
          <w:szCs w:val="24"/>
          <w:lang w:val="cs-CZ" w:eastAsia="cs-CZ"/>
        </w:rPr>
        <w:t>Na tuto změnu navazuje změna § 12 odst. 1 písm. a) zákona č. 359/1999 Sb., o sociálně-právní ochraně dětí, ve znění pozdějších předpisů. Blíže viz odůvodnění níže k této změně.</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3 až 6 - </w:t>
      </w:r>
      <w:r>
        <w:rPr>
          <w:rFonts w:ascii="Times New Roman" w:hAnsi="Times New Roman"/>
          <w:sz w:val="24"/>
          <w:szCs w:val="24"/>
        </w:rPr>
        <w:t>§ 16b</w:t>
      </w:r>
    </w:p>
    <w:p>
      <w:pPr>
        <w:pStyle w:val="Normal"/>
        <w:spacing w:lineRule="auto" w:line="276"/>
        <w:jc w:val="both"/>
        <w:rPr>
          <w:rFonts w:ascii="Times New Roman" w:hAnsi="Times New Roman"/>
          <w:sz w:val="24"/>
          <w:szCs w:val="24"/>
        </w:rPr>
      </w:pPr>
      <w:r>
        <w:rPr>
          <w:rFonts w:ascii="Times New Roman" w:hAnsi="Times New Roman"/>
          <w:sz w:val="24"/>
          <w:szCs w:val="24"/>
        </w:rPr>
        <w:t>Je upraven postup revizí doporučení. Nově může revizi provést také revizní pracoviště ex offo, nepotřebuje k revizi podnět. Dále se doplňuje pravomoc revizního pracoviště vůči školskému poradenskému zařízení dát mu závazný pokyn k dalšímu postupu nebo mu stanovit lhůtu, dokdy je nutné vydat nové doporučení nebo zprávu. Současně je stanoveno, že uplynutím lhůty stanovené k nápravě končí platnost původního doporučení. Toto opatření má za cíl motivovat školské poradenské zařízení k vydání nové zprávy a doporučení. Stávající odstavec 3 se rozděluje na dva samostatné odstavce z důvodu větší přehlednosti. Věcně se nic nemění, kromě možnosti stanovení závazného pokynu nebo stanovení výše zmíněné lhůty.</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8 - </w:t>
      </w:r>
      <w:r>
        <w:rPr>
          <w:rFonts w:ascii="Times New Roman" w:hAnsi="Times New Roman"/>
          <w:sz w:val="24"/>
          <w:szCs w:val="24"/>
        </w:rPr>
        <w:t>§ 19</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technická úprava spočívající v zavedení společného nadpisu. Důvodem je skutečnost, že se nově vkládají ustanovení § 18a a 18b se společným nadpisem. Je tedy nutné § 19 oddělit od § 18a a 18b.</w:t>
      </w:r>
    </w:p>
    <w:p>
      <w:pPr>
        <w:pStyle w:val="Normal"/>
        <w:spacing w:lineRule="auto" w:line="276"/>
        <w:jc w:val="both"/>
        <w:rPr>
          <w:rFonts w:ascii="Times New Roman" w:hAnsi="Times New Roman"/>
          <w:sz w:val="24"/>
          <w:szCs w:val="24"/>
        </w:rPr>
      </w:pPr>
      <w:r>
        <w:rPr>
          <w:rFonts w:ascii="Times New Roman" w:hAnsi="Times New Roman"/>
          <w:b/>
          <w:bCs/>
          <w:sz w:val="24"/>
          <w:szCs w:val="24"/>
        </w:rPr>
        <w:t>K bodu 9</w:t>
      </w:r>
      <w:r>
        <w:rPr>
          <w:rFonts w:ascii="Times New Roman" w:hAnsi="Times New Roman"/>
          <w:sz w:val="24"/>
          <w:szCs w:val="24"/>
        </w:rPr>
        <w:t xml:space="preserve"> - § 46 odst. 4 </w:t>
      </w:r>
    </w:p>
    <w:p>
      <w:pPr>
        <w:pStyle w:val="Normal"/>
        <w:spacing w:lineRule="auto" w:line="276"/>
        <w:jc w:val="both"/>
        <w:rPr>
          <w:rFonts w:ascii="Times New Roman" w:hAnsi="Times New Roman" w:eastAsia="Times New Roman"/>
          <w:color w:themeColor="text1" w:val="000000"/>
          <w:sz w:val="24"/>
          <w:szCs w:val="24"/>
        </w:rPr>
      </w:pPr>
      <w:r>
        <w:rPr>
          <w:rFonts w:ascii="Times New Roman" w:hAnsi="Times New Roman"/>
          <w:sz w:val="24"/>
          <w:szCs w:val="24"/>
        </w:rPr>
        <w:t xml:space="preserve">Tato změna souvisí s institucionalizací asistentů pedagoga na běžných základních školách a ve školních družinách. S ohledem na navrhovanou změnu institucionalizace asistentů pedagoga, není důvodné, aby byla legislativně zakotvena povinnost zajistit činnost asistenta pedagoga tam, kde se vzdělává 15 a více žáků prvního ročníku. I zde </w:t>
      </w:r>
      <w:r>
        <w:rPr>
          <w:rFonts w:eastAsia="Times New Roman" w:ascii="Times New Roman" w:hAnsi="Times New Roman"/>
          <w:color w:themeColor="text1" w:val="000000"/>
          <w:sz w:val="24"/>
          <w:szCs w:val="24"/>
        </w:rPr>
        <w:t>bude uplatněn obecný princip, že se ponechává primárně na odborném a pedagogickém posouzení ředitele školy, zda a v jakém rozsahu je působení asistenta pedagoga v konkrétní třídě prvního ročníku důvodné. Zároveň je však věcně parametr počtu tříd, ve kterých se vzdělává 15 a více žáků prvních ročníků, zachován v návrhu modelu institucionalizace asistentů pedagoga.</w:t>
      </w:r>
    </w:p>
    <w:p>
      <w:pPr>
        <w:pStyle w:val="Normal"/>
        <w:spacing w:lineRule="auto" w:line="276"/>
        <w:jc w:val="both"/>
        <w:rPr>
          <w:rFonts w:ascii="Times New Roman" w:hAnsi="Times New Roman" w:eastAsia="Times New Roman"/>
          <w:color w:themeColor="text1" w:val="000000"/>
          <w:sz w:val="24"/>
          <w:szCs w:val="24"/>
        </w:rPr>
      </w:pPr>
      <w:r>
        <w:rPr>
          <w:rFonts w:eastAsia="Times New Roman" w:ascii="Times New Roman" w:hAnsi="Times New Roman"/>
          <w:b/>
          <w:bCs/>
          <w:color w:themeColor="text1" w:val="000000"/>
          <w:sz w:val="24"/>
          <w:szCs w:val="24"/>
        </w:rPr>
        <w:t xml:space="preserve">K bodu 10 a 11 </w:t>
      </w:r>
      <w:r>
        <w:rPr>
          <w:rFonts w:eastAsia="Times New Roman" w:ascii="Times New Roman" w:hAnsi="Times New Roman"/>
          <w:color w:themeColor="text1" w:val="000000"/>
          <w:sz w:val="24"/>
          <w:szCs w:val="24"/>
        </w:rPr>
        <w:t>- § 116</w:t>
      </w:r>
    </w:p>
    <w:p>
      <w:pPr>
        <w:pStyle w:val="Normal"/>
        <w:spacing w:lineRule="auto" w:line="276"/>
        <w:jc w:val="both"/>
        <w:rPr>
          <w:rFonts w:ascii="Times New Roman" w:hAnsi="Times New Roman" w:eastAsia="Times New Roman"/>
          <w:color w:themeColor="text1" w:val="000000"/>
          <w:sz w:val="24"/>
          <w:szCs w:val="24"/>
          <w:lang w:val="cs-CZ"/>
        </w:rPr>
      </w:pPr>
      <w:r>
        <w:rPr>
          <w:rFonts w:eastAsia="Times New Roman" w:ascii="Times New Roman" w:hAnsi="Times New Roman"/>
          <w:color w:themeColor="text1" w:val="000000"/>
          <w:sz w:val="24"/>
          <w:szCs w:val="24"/>
          <w:lang w:val="cs-CZ"/>
        </w:rPr>
        <w:t>V § 116 odst. 3 školského zákona se doplňuje nová úprava spádových obvodů pedagogicko-psychologických poraden pro účely poskytování služeb na žádost dítěte, žáka, studenta nebo jejich zákonného zástupce. Jde tedy o spádové obvody odlišné od obvodů upravených ve stávajícím § 116 odst. 4.</w:t>
      </w:r>
    </w:p>
    <w:p>
      <w:pPr>
        <w:pStyle w:val="Normal"/>
        <w:spacing w:lineRule="auto" w:line="276"/>
        <w:jc w:val="both"/>
        <w:rPr>
          <w:rFonts w:ascii="Times New Roman" w:hAnsi="Times New Roman" w:eastAsia="Times New Roman"/>
          <w:color w:themeColor="text1" w:val="000000"/>
          <w:sz w:val="24"/>
          <w:szCs w:val="24"/>
          <w:lang w:val="cs-CZ"/>
        </w:rPr>
      </w:pPr>
      <w:r>
        <w:rPr>
          <w:rFonts w:eastAsia="Times New Roman" w:ascii="Times New Roman" w:hAnsi="Times New Roman"/>
          <w:color w:themeColor="text1" w:val="000000"/>
          <w:sz w:val="24"/>
          <w:szCs w:val="24"/>
          <w:lang w:val="cs-CZ"/>
        </w:rPr>
        <w:t>Nové spádové obvody se budou týkat pouze poraden zřizovaných kraji. Pro tyto poradny pak bude platit povinnost zajišťovat služby přednostně dětem, žákům, studentům a zákonným zástupcům s místem trvalého pobytu ve spádovém obvodu. Území spádového obvodu budou stanovovat kraje opatřením obecné povahy podle nového § 116 odst. 8.</w:t>
      </w:r>
    </w:p>
    <w:p>
      <w:pPr>
        <w:pStyle w:val="Normal"/>
        <w:spacing w:lineRule="auto" w:line="276"/>
        <w:jc w:val="both"/>
        <w:rPr>
          <w:rFonts w:ascii="Times New Roman" w:hAnsi="Times New Roman" w:eastAsia="Times New Roman"/>
          <w:color w:themeColor="text1" w:val="000000"/>
          <w:sz w:val="24"/>
          <w:szCs w:val="24"/>
          <w:lang w:val="cs-CZ"/>
        </w:rPr>
      </w:pPr>
      <w:r>
        <w:rPr>
          <w:rFonts w:eastAsia="Times New Roman" w:ascii="Times New Roman" w:hAnsi="Times New Roman"/>
          <w:color w:themeColor="text1" w:val="000000"/>
          <w:sz w:val="24"/>
          <w:szCs w:val="24"/>
          <w:lang w:val="cs-CZ"/>
        </w:rPr>
        <w:t>Cílem této změny je zajistit lepší zacílení kapacit poradenského systému a nasměrování klientů k využití poradenské služby v konkrétní veřejné poradně.</w:t>
      </w:r>
    </w:p>
    <w:p>
      <w:pPr>
        <w:pStyle w:val="Normal"/>
        <w:spacing w:lineRule="auto" w:line="276"/>
        <w:jc w:val="both"/>
        <w:rPr>
          <w:rFonts w:ascii="Times New Roman" w:hAnsi="Times New Roman"/>
          <w:sz w:val="24"/>
          <w:szCs w:val="24"/>
        </w:rPr>
      </w:pPr>
      <w:r>
        <w:rPr>
          <w:rFonts w:ascii="Times New Roman" w:hAnsi="Times New Roman"/>
          <w:b/>
          <w:bCs/>
          <w:sz w:val="24"/>
          <w:szCs w:val="24"/>
        </w:rPr>
        <w:t>K bodu 12</w:t>
      </w:r>
      <w:r>
        <w:rPr>
          <w:rFonts w:ascii="Times New Roman" w:hAnsi="Times New Roman"/>
          <w:sz w:val="24"/>
          <w:szCs w:val="24"/>
        </w:rPr>
        <w:t xml:space="preserve"> - § 120a odst. 3</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technická úprava.</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13 - </w:t>
      </w:r>
      <w:r>
        <w:rPr>
          <w:rFonts w:ascii="Times New Roman" w:hAnsi="Times New Roman"/>
          <w:sz w:val="24"/>
          <w:szCs w:val="24"/>
        </w:rPr>
        <w:t>§ 120a odst. 4</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Ředitel běžné základní školy, která zaměstnává alespoň 3 asistenty pedagoga (fyzické osoby), bude mít povinnost zabezpečit metodické vedení těchto asistentů pedagoga prostřednictvím metodika asistentů pedagoga podle zákona o pedagogických pracovnících. Minimální hranice 3 fyzických osob je stanovena z toho důvodu, že se jedná již o tým, který je třeba koordinovat a metodicky vést. Tato povinnost se nevztahuje na základní školy zřizované podle </w:t>
        <w:br/>
        <w:t xml:space="preserve">§ 16 odst. 9, základní školy speciální, základní školy zřizované při školských zařízeních pro výkon ústavní výchovy nebo ochranné výchovy a základní školy zřizované při zdravotnickém zařízení. Důvodem je, že na těchto školách působí výrazné množství speciálních pedagogů </w:t>
        <w:br/>
        <w:t xml:space="preserve">a metodická spolupráce s asistenty pedagoga tak probíhá intenzivně a jiným způsobem než </w:t>
        <w:br/>
        <w:t>v běžných základních školách. Tento novelizační bod zajistí jasnou odpovědnost za metodické vedení týmu asistentů pedagoga ve škole a propojí jej s rolí metodika asistentů pedagoga definované v zákoně o pedagogických pracovnících. V kombinaci s ostatními opatřeními má tento bod za cíl zkvalitnění a profesionalizaci práce asistentů pedagoga ve školách.</w:t>
      </w:r>
    </w:p>
    <w:p>
      <w:pPr>
        <w:pStyle w:val="Normal"/>
        <w:spacing w:lineRule="auto" w:line="276"/>
        <w:jc w:val="both"/>
        <w:rPr>
          <w:rFonts w:ascii="Times New Roman" w:hAnsi="Times New Roman"/>
          <w:sz w:val="24"/>
          <w:szCs w:val="24"/>
        </w:rPr>
      </w:pPr>
      <w:r>
        <w:rPr>
          <w:rFonts w:ascii="Times New Roman" w:hAnsi="Times New Roman"/>
          <w:b/>
          <w:bCs/>
          <w:sz w:val="24"/>
          <w:szCs w:val="24"/>
        </w:rPr>
        <w:t>K bodu 14</w:t>
      </w:r>
      <w:r>
        <w:rPr>
          <w:rFonts w:ascii="Times New Roman" w:hAnsi="Times New Roman"/>
          <w:sz w:val="24"/>
          <w:szCs w:val="24"/>
        </w:rPr>
        <w:t xml:space="preserve"> - §161 odst. 5</w:t>
      </w:r>
    </w:p>
    <w:p>
      <w:pPr>
        <w:pStyle w:val="Normal"/>
        <w:spacing w:lineRule="auto" w:line="276"/>
        <w:jc w:val="both"/>
        <w:rPr>
          <w:rFonts w:ascii="Times New Roman" w:hAnsi="Times New Roman"/>
          <w:sz w:val="24"/>
          <w:szCs w:val="24"/>
        </w:rPr>
      </w:pPr>
      <w:r>
        <w:rPr>
          <w:rFonts w:ascii="Times New Roman" w:hAnsi="Times New Roman"/>
          <w:sz w:val="24"/>
          <w:szCs w:val="24"/>
        </w:rPr>
        <w:t>Do školského zákona se výslovně zakotvuje povinnost nařízením vlády upravit maximální počty hodin přímé pedagogické činnosti asistentů pedagoga. Úprava se provádí z důvodu zavádění nové koncepce institucionalizace asistentů pedagoga, aby bylo pro adresáty této změny dostatečně zřejmé, že stávající podpůrné opatření bude nahrazeno právě institucionalizovanými asistenty pedagoga.  </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Institucionalizace asistentů pedagoga na </w:t>
      </w:r>
      <w:r>
        <w:rPr>
          <w:rFonts w:eastAsia="Times New Roman" w:ascii="Times New Roman" w:hAnsi="Times New Roman"/>
          <w:color w:themeColor="text1" w:val="000000"/>
          <w:sz w:val="24"/>
          <w:szCs w:val="24"/>
        </w:rPr>
        <w:t>střední škole s oborem vzdělání praktická škola jednoletá nebo praktická škola dvouletá již na těchto školách funguje, uvedené se zde pouze dává do souladu v rámci textace školského zákona.</w:t>
      </w:r>
    </w:p>
    <w:p>
      <w:pPr>
        <w:pStyle w:val="Normal"/>
        <w:spacing w:lineRule="auto" w:line="276"/>
        <w:jc w:val="both"/>
        <w:rPr>
          <w:rFonts w:ascii="Times New Roman" w:hAnsi="Times New Roman"/>
          <w:sz w:val="24"/>
          <w:szCs w:val="24"/>
        </w:rPr>
      </w:pPr>
      <w:r>
        <w:rPr>
          <w:rFonts w:ascii="Times New Roman" w:hAnsi="Times New Roman"/>
          <w:b/>
          <w:bCs/>
          <w:sz w:val="24"/>
          <w:szCs w:val="24"/>
        </w:rPr>
        <w:t>K bodu 15</w:t>
      </w:r>
      <w:r>
        <w:rPr>
          <w:rFonts w:ascii="Times New Roman" w:hAnsi="Times New Roman"/>
          <w:sz w:val="24"/>
          <w:szCs w:val="24"/>
        </w:rPr>
        <w:t xml:space="preserve"> - § 161 odst. 6</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technická změna související s institucionalizací asistentů pedagoga.</w:t>
      </w:r>
    </w:p>
    <w:p>
      <w:pPr>
        <w:pStyle w:val="Normal"/>
        <w:spacing w:lineRule="auto" w:line="240"/>
        <w:jc w:val="both"/>
        <w:rPr>
          <w:rFonts w:ascii="Times New Roman" w:hAnsi="Times New Roman"/>
          <w:sz w:val="24"/>
          <w:szCs w:val="24"/>
        </w:rPr>
      </w:pPr>
      <w:r>
        <w:rPr>
          <w:rFonts w:ascii="Times New Roman" w:hAnsi="Times New Roman"/>
          <w:b/>
          <w:bCs/>
          <w:sz w:val="24"/>
          <w:szCs w:val="24"/>
        </w:rPr>
        <w:t>K bodu 16 až 18 a 20 až 22</w:t>
      </w:r>
      <w:r>
        <w:rPr>
          <w:rFonts w:ascii="Times New Roman" w:hAnsi="Times New Roman"/>
          <w:sz w:val="24"/>
          <w:szCs w:val="24"/>
        </w:rPr>
        <w:t xml:space="preserve"> - § 161 odst. 8 až 10, § 161c odst. 4, § 170 písm. b), </w:t>
        <w:br/>
        <w:t>§ 180 odst. 1 a § 182 odst. 1</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technická změna související se změnou odkazů na jednotlivá ustanovení.</w:t>
      </w:r>
    </w:p>
    <w:p>
      <w:pPr>
        <w:pStyle w:val="Normal"/>
        <w:spacing w:lineRule="auto" w:line="276"/>
        <w:jc w:val="both"/>
        <w:rPr>
          <w:rFonts w:ascii="Times New Roman" w:hAnsi="Times New Roman"/>
          <w:sz w:val="24"/>
          <w:szCs w:val="24"/>
        </w:rPr>
      </w:pPr>
      <w:r>
        <w:rPr>
          <w:rFonts w:ascii="Times New Roman" w:hAnsi="Times New Roman"/>
          <w:b/>
          <w:bCs/>
          <w:sz w:val="24"/>
          <w:szCs w:val="24"/>
        </w:rPr>
        <w:t>K bodu 19</w:t>
      </w:r>
      <w:r>
        <w:rPr>
          <w:rFonts w:ascii="Times New Roman" w:hAnsi="Times New Roman"/>
          <w:sz w:val="24"/>
          <w:szCs w:val="24"/>
        </w:rPr>
        <w:t xml:space="preserve"> - § 161c odst. 2</w:t>
      </w:r>
    </w:p>
    <w:p>
      <w:pPr>
        <w:pStyle w:val="Normal"/>
        <w:spacing w:lineRule="auto" w:line="276"/>
        <w:jc w:val="both"/>
        <w:rPr>
          <w:rFonts w:ascii="Times New Roman" w:hAnsi="Times New Roman"/>
          <w:sz w:val="24"/>
          <w:szCs w:val="24"/>
        </w:rPr>
      </w:pPr>
      <w:r>
        <w:rPr>
          <w:rFonts w:ascii="Times New Roman" w:hAnsi="Times New Roman"/>
          <w:sz w:val="24"/>
          <w:szCs w:val="24"/>
        </w:rPr>
        <w:t>Do školského zákona se výslovně zakotvuje povinnost vyhláškou upravit maximální počty hodin přímé pedagogické činnosti asistentů pedagoga ve školní družině. Úprava se provádí z důvodu zavádění nové koncepce institucionalizace asistentů pedagoga, aby bylo pro adresáty této změny dostatečně zřejmé, že stávající podpůrné opatření bude nahrazeno právě institucionalizovanými asistenty pedagoga.</w:t>
      </w:r>
    </w:p>
    <w:p>
      <w:pPr>
        <w:pStyle w:val="Normal"/>
        <w:spacing w:lineRule="auto" w:line="276"/>
        <w:jc w:val="both"/>
        <w:rPr>
          <w:rFonts w:ascii="Times New Roman" w:hAnsi="Times New Roman" w:eastAsia="Times New Roman"/>
          <w:color w:themeColor="text1" w:val="000000"/>
          <w:sz w:val="24"/>
          <w:szCs w:val="24"/>
        </w:rPr>
      </w:pPr>
      <w:r>
        <w:rPr>
          <w:rFonts w:ascii="Times New Roman" w:hAnsi="Times New Roman"/>
          <w:sz w:val="24"/>
          <w:szCs w:val="24"/>
        </w:rPr>
        <w:t xml:space="preserve">Institucionalizace asistentů pedagoga </w:t>
      </w:r>
      <w:r>
        <w:rPr>
          <w:rFonts w:eastAsia="Times New Roman" w:ascii="Times New Roman" w:hAnsi="Times New Roman"/>
          <w:bCs/>
          <w:color w:themeColor="text1" w:val="000000"/>
          <w:sz w:val="24"/>
          <w:szCs w:val="24"/>
        </w:rPr>
        <w:t>v mateřské škole zřízené podle § 16 odst. 9 nebo ve třídě zřízené podle § 16 odst. 9 v mateřské škole, ve školní družině a ve třídě přípravného stupně základní školy speciální</w:t>
      </w:r>
      <w:r>
        <w:rPr>
          <w:rFonts w:eastAsia="Times New Roman" w:ascii="Times New Roman" w:hAnsi="Times New Roman"/>
          <w:color w:themeColor="text1" w:val="000000"/>
          <w:sz w:val="24"/>
          <w:szCs w:val="24"/>
        </w:rPr>
        <w:t xml:space="preserve"> již na těchto školách funguje, uvedené se zde pouze dává do souladu v rámci textace školského zákona.</w:t>
      </w:r>
    </w:p>
    <w:p>
      <w:pPr>
        <w:pStyle w:val="Normal"/>
        <w:spacing w:lineRule="auto" w:line="276"/>
        <w:jc w:val="both"/>
        <w:rPr>
          <w:rFonts w:ascii="Times New Roman" w:hAnsi="Times New Roman"/>
          <w:b/>
          <w:bCs/>
          <w:sz w:val="24"/>
          <w:szCs w:val="24"/>
        </w:rPr>
      </w:pPr>
      <w:r>
        <w:rPr>
          <w:rFonts w:ascii="Times New Roman" w:hAnsi="Times New Roman"/>
          <w:b/>
          <w:bCs/>
          <w:sz w:val="24"/>
          <w:szCs w:val="24"/>
        </w:rPr>
        <w:t>K čl. II</w:t>
      </w:r>
    </w:p>
    <w:p>
      <w:pPr>
        <w:pStyle w:val="Normal"/>
        <w:spacing w:lineRule="auto" w:line="276"/>
        <w:jc w:val="both"/>
        <w:rPr>
          <w:rFonts w:ascii="Times New Roman" w:hAnsi="Times New Roman"/>
          <w:sz w:val="24"/>
          <w:szCs w:val="24"/>
          <w:lang w:val="cs-CZ"/>
        </w:rPr>
      </w:pPr>
      <w:r>
        <w:rPr>
          <w:rFonts w:ascii="Times New Roman" w:hAnsi="Times New Roman"/>
          <w:sz w:val="24"/>
          <w:szCs w:val="24"/>
          <w:lang w:val="cs-CZ"/>
        </w:rPr>
        <w:t xml:space="preserve">Změna týkající se spádových obvodů </w:t>
      </w:r>
      <w:r>
        <w:rPr>
          <w:rFonts w:ascii="Times New Roman" w:hAnsi="Times New Roman"/>
          <w:sz w:val="24"/>
          <w:szCs w:val="24"/>
        </w:rPr>
        <w:t xml:space="preserve">pedagogicko-psychologických poraden pro účely poskytování služeb na žádost </w:t>
      </w:r>
      <w:r>
        <w:rPr>
          <w:rFonts w:ascii="Times New Roman" w:hAnsi="Times New Roman"/>
          <w:sz w:val="24"/>
          <w:szCs w:val="24"/>
          <w:lang w:val="cs-CZ"/>
        </w:rPr>
        <w:t>bude účinná od 1. září 2028 a v souladu s přechodným ustanovením se nedotkne poskytování školských služeb, které bude k tomuto datu trvat.</w:t>
      </w:r>
    </w:p>
    <w:p>
      <w:pPr>
        <w:pStyle w:val="Normal"/>
        <w:spacing w:lineRule="auto" w:line="276"/>
        <w:jc w:val="both"/>
        <w:rPr>
          <w:rFonts w:ascii="Times New Roman" w:hAnsi="Times New Roman"/>
          <w:sz w:val="24"/>
          <w:szCs w:val="24"/>
          <w:lang w:val="cs-CZ"/>
        </w:rPr>
      </w:pPr>
      <w:r>
        <w:rPr>
          <w:rFonts w:ascii="Times New Roman" w:hAnsi="Times New Roman"/>
          <w:sz w:val="24"/>
          <w:szCs w:val="24"/>
          <w:lang w:val="cs-CZ"/>
        </w:rPr>
      </w:r>
    </w:p>
    <w:p>
      <w:pPr>
        <w:pStyle w:val="Normal"/>
        <w:rPr>
          <w:rFonts w:ascii="Times New Roman" w:hAnsi="Times New Roman"/>
          <w:b/>
          <w:bCs/>
          <w:sz w:val="24"/>
          <w:szCs w:val="24"/>
        </w:rPr>
      </w:pPr>
      <w:r>
        <w:rPr>
          <w:rFonts w:ascii="Times New Roman" w:hAnsi="Times New Roman"/>
          <w:b/>
          <w:bCs/>
          <w:sz w:val="24"/>
          <w:szCs w:val="24"/>
        </w:rPr>
      </w:r>
      <w:r>
        <w:br w:type="page"/>
      </w:r>
    </w:p>
    <w:p>
      <w:pPr>
        <w:pStyle w:val="Normal"/>
        <w:spacing w:lineRule="auto" w:line="276" w:before="0" w:after="160"/>
        <w:jc w:val="both"/>
        <w:rPr>
          <w:rFonts w:ascii="Times New Roman" w:hAnsi="Times New Roman"/>
          <w:b/>
          <w:bCs/>
          <w:sz w:val="24"/>
          <w:szCs w:val="24"/>
        </w:rPr>
      </w:pPr>
      <w:r>
        <w:rPr>
          <w:rFonts w:ascii="Times New Roman" w:hAnsi="Times New Roman"/>
          <w:b/>
          <w:bCs/>
          <w:sz w:val="24"/>
          <w:szCs w:val="24"/>
        </w:rPr>
        <w:t>ČÁST DRUHÁ – zákon č. 306/1999 Sb.</w:t>
      </w:r>
    </w:p>
    <w:p>
      <w:pPr>
        <w:pStyle w:val="Normal"/>
        <w:spacing w:lineRule="auto" w:line="276"/>
        <w:jc w:val="both"/>
        <w:rPr>
          <w:rFonts w:ascii="Times New Roman" w:hAnsi="Times New Roman"/>
          <w:sz w:val="24"/>
          <w:szCs w:val="24"/>
        </w:rPr>
      </w:pPr>
      <w:r>
        <w:rPr>
          <w:rFonts w:ascii="Times New Roman" w:hAnsi="Times New Roman"/>
          <w:b/>
          <w:bCs/>
          <w:sz w:val="24"/>
          <w:szCs w:val="24"/>
        </w:rPr>
        <w:t>K bodu 1, 4 a 5 -</w:t>
      </w:r>
      <w:r>
        <w:rPr>
          <w:rFonts w:ascii="Times New Roman" w:hAnsi="Times New Roman"/>
          <w:sz w:val="24"/>
          <w:szCs w:val="24"/>
        </w:rPr>
        <w:t xml:space="preserve"> § 4 odst. 1 a 9, § 5 odst. 2</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technické změny související s vložením nových ustanovení.</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2, 3 a Čl. IV </w:t>
      </w:r>
      <w:r>
        <w:rPr>
          <w:rFonts w:ascii="Times New Roman" w:hAnsi="Times New Roman"/>
          <w:sz w:val="24"/>
          <w:szCs w:val="24"/>
        </w:rPr>
        <w:t>- § 4 odst. 2, § 4 odst. 5 a 6 a Přechodné ustanovení</w:t>
      </w:r>
    </w:p>
    <w:p>
      <w:pPr>
        <w:pStyle w:val="Normal"/>
        <w:spacing w:lineRule="auto" w:line="276"/>
        <w:jc w:val="both"/>
        <w:rPr>
          <w:rFonts w:ascii="Times New Roman" w:hAnsi="Times New Roman"/>
          <w:sz w:val="24"/>
          <w:szCs w:val="24"/>
        </w:rPr>
      </w:pPr>
      <w:r>
        <w:rPr>
          <w:rFonts w:ascii="Times New Roman" w:hAnsi="Times New Roman"/>
          <w:sz w:val="24"/>
          <w:szCs w:val="24"/>
        </w:rPr>
        <w:t>Vzhledem k tomu, že přechod od systému individuálně doporučovaných podpůrných opatření AP na institucionalizovaný systém AP se bude vztahovat i na soukromé a církevní základní školy, formulují tato ustanovení zákonný proces, na základě kterého budou při zachování principu srovnatelnosti stanoveny ze strany MŠMT příplatky k normativu na jednoho žáka základní školy zřizované soukromým zřizovatelem. Navržený zákonný režim 3 příplatků garantuje maximální možné promítnutí jednotlivých parametrů navrhovaného modelu tak, aby byla zachována srovnatelnost finanční podpory mezi obdobně strukturovanými veřejnými základními školami a školami soukromými (potažmo církevními).</w:t>
      </w:r>
    </w:p>
    <w:p>
      <w:pPr>
        <w:pStyle w:val="Normal"/>
        <w:spacing w:lineRule="auto" w:line="276"/>
        <w:jc w:val="both"/>
        <w:rPr>
          <w:rFonts w:ascii="Times New Roman" w:hAnsi="Times New Roman"/>
          <w:b/>
          <w:bCs/>
          <w:sz w:val="24"/>
          <w:szCs w:val="24"/>
        </w:rPr>
      </w:pPr>
      <w:r>
        <w:rPr>
          <w:rFonts w:ascii="Times New Roman" w:hAnsi="Times New Roman"/>
          <w:b/>
          <w:bCs/>
          <w:sz w:val="24"/>
          <w:szCs w:val="24"/>
        </w:rPr>
        <w:t>ČÁST TŘETÍ – zákon č. 359/1999 Sb.</w:t>
      </w:r>
    </w:p>
    <w:p>
      <w:pPr>
        <w:pStyle w:val="Normal"/>
        <w:spacing w:lineRule="auto" w:line="276"/>
        <w:jc w:val="both"/>
        <w:rPr>
          <w:rFonts w:ascii="Times New Roman" w:hAnsi="Times New Roman"/>
          <w:sz w:val="24"/>
          <w:szCs w:val="24"/>
          <w:lang w:val="cs-CZ"/>
        </w:rPr>
      </w:pPr>
      <w:r>
        <w:rPr>
          <w:rFonts w:ascii="Times New Roman" w:hAnsi="Times New Roman"/>
          <w:sz w:val="24"/>
          <w:szCs w:val="24"/>
          <w:lang w:val="cs-CZ"/>
        </w:rPr>
        <w:t xml:space="preserve">S ohledem na to, že se v § 16a odst. 2 školského zákona navrhuje nahradit postup, kdy škola doporučuje zákonnému zástupci, aby vyhledal pomoc školského poradenského zařízení, postupem, kdy škola zákonného zástupce k vyhledání pomoci vyzve, navazuje na tuto změnu </w:t>
        <w:br/>
        <w:t xml:space="preserve">i úprava v § 12 odst. 1 písm. a) zákona č. 359/1999 Sb., o sociálně-právní ochraně dětí. </w:t>
      </w:r>
    </w:p>
    <w:p>
      <w:pPr>
        <w:pStyle w:val="Normal"/>
        <w:spacing w:lineRule="auto" w:line="276"/>
        <w:jc w:val="both"/>
        <w:rPr>
          <w:rFonts w:ascii="Times New Roman" w:hAnsi="Times New Roman"/>
          <w:sz w:val="24"/>
          <w:szCs w:val="24"/>
          <w:lang w:val="cs-CZ"/>
        </w:rPr>
      </w:pPr>
      <w:r>
        <w:rPr>
          <w:rFonts w:ascii="Times New Roman" w:hAnsi="Times New Roman"/>
          <w:sz w:val="24"/>
          <w:szCs w:val="24"/>
          <w:lang w:val="cs-CZ"/>
        </w:rPr>
        <w:t>V současnosti se totiž škola v případě, že zákonný zástupce nevyslyšel její doporučení podle § 16a odst. 2 školského zákona, obrací na orgán sociálně-právní ochrany dětí (OSPOD), který by podle stávajícího znění § 12 odst. 1 písm. a) zákona č. 359/1999 Sb. měl nejdříve doporučit rodiči využití odborné poradenské pomoci. Teprve nepostupuje-li rodič podle tohoto doporučení, může OSPOD rodiči využití odborné pomoci závazně uložit správním rozhodnutím, a to pod sankcí přestupku.</w:t>
      </w:r>
    </w:p>
    <w:p>
      <w:pPr>
        <w:pStyle w:val="Normal"/>
        <w:spacing w:lineRule="auto" w:line="276"/>
        <w:jc w:val="both"/>
        <w:rPr>
          <w:rFonts w:ascii="Times New Roman" w:hAnsi="Times New Roman"/>
          <w:b/>
          <w:bCs/>
          <w:sz w:val="24"/>
          <w:szCs w:val="24"/>
        </w:rPr>
      </w:pPr>
      <w:r>
        <w:rPr>
          <w:rFonts w:ascii="Times New Roman" w:hAnsi="Times New Roman"/>
          <w:sz w:val="24"/>
          <w:szCs w:val="24"/>
          <w:lang w:val="cs-CZ"/>
        </w:rPr>
        <w:t>Navrhovaná změna § 12 odst. 1 písm. a) celý proces zkracuje. Do ustanovení se totiž doplňuje podmínka, že k vyhledání poradenské pomoci vyzvala rodiče škola nebo školské zařízení. Dosavadní kaskáda, kdy rodiče nejdříve vyzývá škola, následně OSPOD a teprve poté může OSPOD rodiči pod sankcí přestupku uložit využití odborné poradenské pomoci, se tím zkracuje o jeden mezikrok. </w:t>
      </w:r>
    </w:p>
    <w:p>
      <w:pPr>
        <w:pStyle w:val="Normal"/>
        <w:spacing w:lineRule="auto" w:line="276"/>
        <w:jc w:val="both"/>
        <w:rPr>
          <w:rFonts w:ascii="Times New Roman" w:hAnsi="Times New Roman"/>
          <w:b/>
          <w:bCs/>
          <w:sz w:val="24"/>
          <w:szCs w:val="24"/>
        </w:rPr>
      </w:pPr>
      <w:r>
        <w:rPr>
          <w:rFonts w:ascii="Times New Roman" w:hAnsi="Times New Roman"/>
          <w:b/>
          <w:bCs/>
          <w:sz w:val="24"/>
          <w:szCs w:val="24"/>
        </w:rPr>
        <w:t>ČÁST ČTVRTÁ – zákon o pedagogických pracovnících</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1 - </w:t>
      </w:r>
      <w:r>
        <w:rPr>
          <w:rFonts w:ascii="Times New Roman" w:hAnsi="Times New Roman"/>
          <w:sz w:val="24"/>
          <w:szCs w:val="24"/>
        </w:rPr>
        <w:t>§ 20 odst. 1</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S ohledem na to, že se navrhuje nově institucionalizace asistentů pedagoga na základních školách a ve školních družinách, je touto změnou umožněno, aby „kvalifikovaný“ asistent pedagoga nemusel nutně působit pouze ve třídě, ve které se vzdělávají žáci se speciálními vzdělávacími potřebami. Ředitel školy tak bude moct podle potřeby asistenta pedagoga využít i ve třídě, kde se tito žáci nevzdělávají, čímž bude mít ředitel školy možnost zohledňovat </w:t>
        <w:br/>
        <w:t>i specifika jednotlivých tříd a bude moci asistenta pedagoga přidělit do třídy, kde by za stávající právní úpravy nemohl působit.</w:t>
      </w:r>
    </w:p>
    <w:p>
      <w:pPr>
        <w:pStyle w:val="Normal"/>
        <w:rPr>
          <w:rFonts w:ascii="Times New Roman" w:hAnsi="Times New Roman"/>
          <w:b/>
          <w:bCs/>
          <w:sz w:val="24"/>
          <w:szCs w:val="24"/>
        </w:rPr>
      </w:pPr>
      <w:r>
        <w:rPr>
          <w:rFonts w:ascii="Times New Roman" w:hAnsi="Times New Roman"/>
          <w:b/>
          <w:bCs/>
          <w:sz w:val="24"/>
          <w:szCs w:val="24"/>
        </w:rPr>
      </w:r>
      <w:r>
        <w:br w:type="page"/>
      </w:r>
    </w:p>
    <w:p>
      <w:pPr>
        <w:pStyle w:val="Normal"/>
        <w:spacing w:lineRule="auto" w:line="276" w:before="0" w:after="160"/>
        <w:jc w:val="both"/>
        <w:rPr>
          <w:rFonts w:ascii="Times New Roman" w:hAnsi="Times New Roman"/>
          <w:sz w:val="24"/>
          <w:szCs w:val="24"/>
        </w:rPr>
      </w:pPr>
      <w:r>
        <w:rPr>
          <w:rFonts w:ascii="Times New Roman" w:hAnsi="Times New Roman"/>
          <w:b/>
          <w:bCs/>
          <w:sz w:val="24"/>
          <w:szCs w:val="24"/>
        </w:rPr>
        <w:t>K bodu 2</w:t>
      </w:r>
      <w:r>
        <w:rPr>
          <w:rFonts w:ascii="Times New Roman" w:hAnsi="Times New Roman"/>
          <w:sz w:val="24"/>
          <w:szCs w:val="24"/>
        </w:rPr>
        <w:t xml:space="preserve"> - § 23 odst. 2</w:t>
      </w:r>
    </w:p>
    <w:p>
      <w:pPr>
        <w:pStyle w:val="Normal"/>
        <w:spacing w:lineRule="auto" w:line="276"/>
        <w:jc w:val="both"/>
        <w:rPr>
          <w:rFonts w:ascii="Times New Roman" w:hAnsi="Times New Roman"/>
          <w:sz w:val="24"/>
          <w:szCs w:val="24"/>
        </w:rPr>
      </w:pPr>
      <w:r>
        <w:rPr>
          <w:rFonts w:ascii="Times New Roman" w:hAnsi="Times New Roman"/>
          <w:sz w:val="24"/>
          <w:szCs w:val="24"/>
        </w:rPr>
        <w:t>Legislativně – technická úprava.</w:t>
      </w:r>
    </w:p>
    <w:p>
      <w:pPr>
        <w:pStyle w:val="Normal"/>
        <w:spacing w:lineRule="auto" w:line="276"/>
        <w:jc w:val="both"/>
        <w:rPr>
          <w:rFonts w:ascii="Times New Roman" w:hAnsi="Times New Roman"/>
          <w:sz w:val="24"/>
          <w:szCs w:val="24"/>
        </w:rPr>
      </w:pPr>
      <w:r>
        <w:rPr>
          <w:rFonts w:ascii="Times New Roman" w:hAnsi="Times New Roman"/>
          <w:b/>
          <w:bCs/>
          <w:sz w:val="24"/>
          <w:szCs w:val="24"/>
        </w:rPr>
        <w:t xml:space="preserve">K bodu 3 </w:t>
      </w:r>
      <w:r>
        <w:rPr>
          <w:rFonts w:ascii="Times New Roman" w:hAnsi="Times New Roman"/>
          <w:sz w:val="24"/>
          <w:szCs w:val="24"/>
        </w:rPr>
        <w:t>- § 23 odst. 5</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Tento novelizační bod stanoví, že za přímou pedagogickou činnost se v rozsahu stanoveném ředitelem školy podle nařízení vlády považuje v případě speciálního pedagoga a dalších podpůrných profesí také přímé působení na pedagogické pracovníky a zákonné zástupce žáků spočívající zejména v metodickém vedení a konzultacích. Tím bude uzákoněno, v souladu </w:t>
        <w:br/>
        <w:t xml:space="preserve">s odbornými doporučeními a mezinárodní dobrou praxí (např. Gilson 2023 </w:t>
      </w:r>
      <w:r>
        <w:rPr>
          <w:rFonts w:ascii="Times New Roman" w:hAnsi="Times New Roman"/>
          <w:i/>
          <w:iCs/>
          <w:sz w:val="24"/>
          <w:szCs w:val="24"/>
        </w:rPr>
        <w:t xml:space="preserve">Perspectives of special education teachers and paraprofessionals on working together in general education settings, International Journal of Inclusive Education; </w:t>
      </w:r>
      <w:r>
        <w:rPr>
          <w:rFonts w:ascii="Times New Roman" w:hAnsi="Times New Roman"/>
          <w:sz w:val="24"/>
          <w:szCs w:val="24"/>
        </w:rPr>
        <w:t xml:space="preserve">Němec et al. 2026 </w:t>
      </w:r>
      <w:r>
        <w:rPr>
          <w:rFonts w:ascii="Times New Roman" w:hAnsi="Times New Roman"/>
          <w:i/>
          <w:iCs/>
          <w:sz w:val="24"/>
          <w:szCs w:val="24"/>
        </w:rPr>
        <w:t>Delivering Direct Support in Inclusive Education: School Special Educators‘ Practice Patterns in Czech Mainstream Schools</w:t>
      </w:r>
      <w:r>
        <w:rPr>
          <w:rFonts w:ascii="Times New Roman" w:hAnsi="Times New Roman"/>
          <w:sz w:val="24"/>
          <w:szCs w:val="24"/>
        </w:rPr>
        <w:t>, EduPort), že mezi zásadní pedagogické působení těchto pozic je také třeba zahrnout metodickou a konzultační činnost s jinými pedagogickými pracovníky, a také zákonnými zástupci. Ke skutečně účinné podpoře žáků se speciálními vzdělávacími potřebami je třeba nejen přímá podpora ze strany podpůrných pozic, ale také cílená a metodicky vedená spolupráce všech relevantních pedagogických pracovníků působících na žáka. Na výsledek má také velmi výrazný vliv spolupráce pedagogů a zákonných zástupců žáka. Nařízení vlády č. 75/2005 Sb. následně stanoví limit týdenního počtu hodin přímé pedagogické činnosti, který může být u těchto pozic věnován výše uvedeným činnostem (aby nedošlo k jejich nadměrné realizaci na úkor přímé podpory žáků, jež musí zůstat převažující náplní přímé pedagogické činnosti těchto pozic).</w:t>
      </w:r>
    </w:p>
    <w:p>
      <w:pPr>
        <w:pStyle w:val="Normal"/>
        <w:spacing w:lineRule="auto" w:line="276"/>
        <w:jc w:val="both"/>
        <w:rPr>
          <w:rFonts w:ascii="Times New Roman" w:hAnsi="Times New Roman"/>
          <w:sz w:val="24"/>
          <w:szCs w:val="24"/>
        </w:rPr>
      </w:pPr>
      <w:r>
        <w:rPr>
          <w:rFonts w:ascii="Times New Roman" w:hAnsi="Times New Roman"/>
          <w:b/>
          <w:bCs/>
          <w:sz w:val="24"/>
          <w:szCs w:val="24"/>
        </w:rPr>
        <w:t>K bodu 4</w:t>
      </w:r>
      <w:r>
        <w:rPr>
          <w:rFonts w:ascii="Times New Roman" w:hAnsi="Times New Roman"/>
          <w:sz w:val="24"/>
          <w:szCs w:val="24"/>
        </w:rPr>
        <w:t xml:space="preserve"> - § 24e</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Aby mohla být zkvalitněna a profesionalizována činnost asistentů pedagoga, musí být zkvalitněno jejich metodické vedení přímo ve školách, protože asistenti pedagoga jsou z principu závislí na metodickém vedení ze strany učitelů a dalších pedagogů a jejich vzájemná spolupráce zároveň vykazuje dle zjištění ČŠI podstatné nedostatky (Tematická zpráva ČŠI „Kooperace pedagogů při řízení výuky na základních školách“, 2025). Zkvalitňování metodického vedení asistentů pedagoga ve školách je „pákovým bodem“, přes který lze zkvalitnit také jejich profesní rozvoj a spolupráci s učiteli, což jsou i dle dostupné evidence hlavní způsoby, jak dosáhnout zkvalitnění jejich činnosti, a tím zlepšení vzdělávacích výsledků žáků. Proto novelizační bod ukotvuje pozici metodika asistentů pedagoga, jeho hlavní náplň činnosti a požadavky na výkon metodické činnosti. Metodik asistentů pedagoga není samostatnou kategorií pedagogického pracovníka. Jedná se o metodickou roli vykonávanou pedagogickým pracovníkem. Stanovuje také, že tuto pozici vykonává speciální pedagog. Pokud ji nelze zajistit speciálním pedagogem (např. jej škola nezaměstnává), vykonává tuto činnost jiný pověřený pedagogický pracovník (může se jednat zpravidla o výchovného poradce, metodika prevence, psychologa, sociálního pedagoga, případně učitele nebo zkušeného asistenta pedagoga). Metodik asistentů pedagoga průběžně a pravidelně hodnotí přímou pedagogickou činnost asistentů pedagoga i výkon dalších prací (tzv. nepřímou pedagogickou činnost). Podstatné je, že metodicky vede také spolupráci asistentů pedagoga </w:t>
        <w:br/>
        <w:t xml:space="preserve">a jiných pedagogických pracovníků, zejména učitelů. Zákon dále ustanovuje povinnost pro metodiky asistentů pedagoga, aby do 3 let ode dne zahájení činnosti metodika asistentů pedagoga úspěšně ukončili studium pro metodiky asistentů pedagoga. Absolvování studia představuje povinnost dalšího vzdělávání spojenou s výkonem metodické činnosti, zákon proto výslovně stanovuje lhůtu pro splnění povinnosti a nesvazuje ji se samotným zahájením výkonu činnosti. Toto studium tak nepředstavuje způsob získání odborné kvalifikace pro zahájení výkonu činnosti metodika asistentů pedagoga. Činnost metodiků asistenta pedagoga vykonává pedagogický pracovník, který splňuje kvalifikační předpoklady pro výkon přímé pedagogické činnosti pro některou z kategorií pedagogických pracovníků vymezenou v § 2 odst. 2 zákona </w:t>
        <w:br/>
        <w:t>o pedagogických pracovnících, které jsou uvedeny v § 3 až 22 zákona o pedagogických pracovnících. Z výše uvedeného důvodu nelze na splnění povinnosti vztáhnout postup podle zákona č. 18/2004 Sb., o uznávání odborné kvalifikace a jiné způsobilosti státních příslušníků členských států Evropské unie a některých příslušníků jiných států a o změně některých zákonů (zákon o uznávání odborné kvalifikace), ve znění pozdějších předpisů.</w:t>
      </w:r>
    </w:p>
    <w:p>
      <w:pPr>
        <w:pStyle w:val="Normal"/>
        <w:spacing w:lineRule="auto" w:line="276"/>
        <w:jc w:val="both"/>
        <w:rPr>
          <w:rFonts w:ascii="Times New Roman" w:hAnsi="Times New Roman"/>
          <w:sz w:val="24"/>
          <w:szCs w:val="24"/>
        </w:rPr>
      </w:pPr>
      <w:r>
        <w:rPr>
          <w:rFonts w:ascii="Times New Roman" w:hAnsi="Times New Roman"/>
          <w:sz w:val="24"/>
          <w:szCs w:val="24"/>
        </w:rPr>
        <w:t xml:space="preserve">Cílem studia je spolu s dlouhodobým metodickým vedením ze strany školských poradenských zařízení zajistit potřebný předpoklad pro kvalitu metodického vedení asistentů pedagoga ve školách. Toto studium bude podrobněji ukotveno novelizací vyhlášky č. 317/2005 Sb. </w:t>
        <w:br/>
        <w:t xml:space="preserve">a vydáním souvisejícího standardu, který vznikne na základě pilotáže. Studium se zaměří na efektivní metodické vedení asistentů pedagoga v souladu s inovovaným </w:t>
      </w:r>
      <w:r>
        <w:rPr>
          <w:rFonts w:ascii="Times New Roman" w:hAnsi="Times New Roman"/>
          <w:i/>
          <w:iCs/>
          <w:sz w:val="24"/>
          <w:szCs w:val="24"/>
        </w:rPr>
        <w:t>Standardem činnosti asistentů pedagoga</w:t>
      </w:r>
      <w:r>
        <w:rPr>
          <w:rFonts w:ascii="Times New Roman" w:hAnsi="Times New Roman"/>
          <w:sz w:val="24"/>
          <w:szCs w:val="24"/>
        </w:rPr>
        <w:t xml:space="preserve">, v souladu s vědeckými poznatky o efektivitě práce asistentů pedagoga </w:t>
        <w:br/>
        <w:t>a v souladu s dobrou praxí ze škol. Bude obsahovat velmi konkrétní techniky pro průběžnou spolupráci mezi metodikem a asistenty pedagoga i učiteli a bude realizováno ve spolupráci se školskými poradenskými zařízeními, které mají na starost metodické vedení škol v oblasti práce se žáky se speciálními vzdělávacími potřebami. Tím bude zajištěno postupné plošné proškolení osob vykonávajících metodické vedení asistentů pedagoga (zpravidla speciálních pedagogů) ve školách, v efektivních způsobech výkonu této činnosti. Na tato školení následně naváže metodická podpora ze školských poradenských zařízení, jejíž zavedení je předmětem jiných legislativních změn. Tento novelizační bod je spolu s dalšími souvisejícími body zásadní pro zkvalitňování a profesionalizaci práce asistentů pedagoga.</w:t>
      </w:r>
    </w:p>
    <w:p>
      <w:pPr>
        <w:pStyle w:val="Normal"/>
        <w:spacing w:lineRule="auto" w:line="276"/>
        <w:jc w:val="both"/>
        <w:rPr>
          <w:rFonts w:ascii="Times New Roman" w:hAnsi="Times New Roman"/>
          <w:b/>
          <w:bCs/>
          <w:sz w:val="24"/>
          <w:szCs w:val="24"/>
        </w:rPr>
      </w:pPr>
      <w:r>
        <w:rPr>
          <w:rFonts w:ascii="Times New Roman" w:hAnsi="Times New Roman"/>
          <w:b/>
          <w:bCs/>
          <w:sz w:val="24"/>
          <w:szCs w:val="24"/>
        </w:rPr>
        <w:t>ČÁST PÁTÁ – zákon č. 267/2025 Sb.</w:t>
      </w:r>
    </w:p>
    <w:p>
      <w:pPr>
        <w:pStyle w:val="Normal"/>
        <w:spacing w:lineRule="auto" w:line="276"/>
        <w:jc w:val="both"/>
        <w:rPr>
          <w:rFonts w:ascii="Times New Roman" w:hAnsi="Times New Roman"/>
          <w:sz w:val="24"/>
          <w:szCs w:val="24"/>
        </w:rPr>
      </w:pPr>
      <w:r>
        <w:rPr>
          <w:rFonts w:ascii="Times New Roman" w:hAnsi="Times New Roman"/>
          <w:sz w:val="24"/>
          <w:szCs w:val="24"/>
        </w:rPr>
        <w:t>Jedná se o legislativně – technickou změnu související se změnou označení ustanovení, na které je v přechodném ustanovení odkazováno.</w:t>
      </w:r>
    </w:p>
    <w:p>
      <w:pPr>
        <w:pStyle w:val="Normal"/>
        <w:spacing w:lineRule="auto" w:line="276"/>
        <w:jc w:val="both"/>
        <w:rPr>
          <w:rFonts w:ascii="Times New Roman" w:hAnsi="Times New Roman"/>
          <w:b/>
          <w:bCs/>
          <w:sz w:val="24"/>
          <w:szCs w:val="24"/>
        </w:rPr>
      </w:pPr>
      <w:r>
        <w:rPr>
          <w:rFonts w:ascii="Times New Roman" w:hAnsi="Times New Roman"/>
          <w:b/>
          <w:bCs/>
          <w:sz w:val="24"/>
          <w:szCs w:val="24"/>
        </w:rPr>
        <w:t>ČÁST ŠESTÁ – účinnost</w:t>
      </w:r>
    </w:p>
    <w:p>
      <w:pPr>
        <w:pStyle w:val="Normal"/>
        <w:spacing w:lineRule="auto" w:line="240" w:before="0" w:after="120"/>
        <w:jc w:val="both"/>
        <w:rPr>
          <w:rFonts w:ascii="Times New Roman" w:hAnsi="Times New Roman"/>
          <w:sz w:val="24"/>
          <w:szCs w:val="24"/>
        </w:rPr>
      </w:pPr>
      <w:r>
        <w:rPr>
          <w:rFonts w:ascii="Times New Roman" w:hAnsi="Times New Roman"/>
          <w:sz w:val="24"/>
          <w:szCs w:val="24"/>
        </w:rPr>
        <w:t>Navrhované datum nabytí účinnosti dnem 1. září 2027, s výjimkou změny týkající se spádových obvodů pedagogicko-psychologických poraden, která bude účinná od 1. září 2028, což v obou případech odpovídá datu začátku školního roku (a jeho období školního vyučování). Není totiž žádoucí v tomto případě dělat změny v průběhu školního roku. Z tohoto důvodu se tedy účinnost zákona jako celku odchyluje od tzv. jednotných dnů účinnosti podle § 9 odst. 2 zákona č. 222/2016 Sb., o Sbírce zákonů a mezinárodních smluv a o tvorbě právních předpisů vyhlašovaných ve Sbírce zákonů a mezinárodních smluv (zákon o Sbírce zákonů a mezinárodních smluv), ve znění pozdějších předpisů.</w:t>
      </w:r>
    </w:p>
    <w:p>
      <w:pPr>
        <w:pStyle w:val="Normal"/>
        <w:rPr>
          <w:rFonts w:ascii="Times New Roman" w:hAnsi="Times New Roman"/>
          <w:sz w:val="24"/>
          <w:szCs w:val="24"/>
        </w:rPr>
      </w:pPr>
      <w:r>
        <w:rPr>
          <w:rFonts w:ascii="Times New Roman" w:hAnsi="Times New Roman"/>
          <w:sz w:val="24"/>
          <w:szCs w:val="24"/>
        </w:rPr>
      </w:r>
      <w:r>
        <w:br w:type="page"/>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V Praze dne 19. října 2026</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Předseda vlády:</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Ing. Andrej Babiš</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podepsáno elektronicky</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Ministr školství, mládeže a tělovýchovy:</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Ing. Robert Plaga, Ph.D.</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t>podepsáno elektronicky</w:t>
      </w:r>
    </w:p>
    <w:sectPr>
      <w:headerReference w:type="even" r:id="rId22"/>
      <w:headerReference w:type="default" r:id="rId23"/>
      <w:headerReference w:type="first" r:id="rId24"/>
      <w:footerReference w:type="even" r:id="rId25"/>
      <w:footerReference w:type="default" r:id="rId26"/>
      <w:footerReference w:type="first" r:id="rId27"/>
      <w:type w:val="nextPage"/>
      <w:pgSz w:w="11906" w:h="16838"/>
      <w:pgMar w:left="1440" w:right="1440" w:gutter="0" w:header="708" w:top="1440" w:footer="708" w:bottom="144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Segoe UI">
    <w:charset w:val="01"/>
    <w:family w:val="swiss"/>
    <w:pitch w:val="variable"/>
  </w:font>
  <w:font w:name="Liberation Sans">
    <w:altName w:val="Arial"/>
    <w:charset w:val="01"/>
    <w:family w:val="swiss"/>
    <w:pitch w:val="variable"/>
  </w:font>
  <w:font w:name="Roboto">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90009904"/>
      <w:docPartObj>
        <w:docPartGallery w:val="Page Numbers (Bottom of Page)"/>
        <w:docPartUnique w:val="true"/>
      </w:docPartObj>
    </w:sdtPr>
    <w:sdtContent>
      <w:p>
        <w:pPr>
          <w:pStyle w:val="Footer"/>
          <w:jc w:val="center"/>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24</w:t>
        </w:r>
        <w:r>
          <w:rPr>
            <w:rFonts w:cs="Times New Roman" w:ascii="Times New Roman" w:hAnsi="Times New Roman"/>
          </w:rPr>
          <w:fldChar w:fldCharType="end"/>
        </w:r>
      </w:p>
    </w:sdtContent>
  </w:sdt>
  <w:p>
    <w:pPr>
      <w:pStyle w:val="Footer"/>
      <w:tabs>
        <w:tab w:val="clear" w:pos="4536"/>
        <w:tab w:val="clear" w:pos="9072"/>
        <w:tab w:val="left" w:pos="1470" w:leader="none"/>
      </w:tabs>
      <w:rPr/>
    </w:pPr>
    <w:r>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90009904"/>
      <w:docPartObj>
        <w:docPartGallery w:val="Page Numbers (Bottom of Page)"/>
        <w:docPartUnique w:val="true"/>
      </w:docPartObj>
    </w:sdtPr>
    <w:sdtContent>
      <w:p>
        <w:pPr>
          <w:pStyle w:val="Footer"/>
          <w:jc w:val="center"/>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24</w:t>
        </w:r>
        <w:r>
          <w:rPr>
            <w:rFonts w:cs="Times New Roman" w:ascii="Times New Roman" w:hAnsi="Times New Roman"/>
          </w:rPr>
          <w:fldChar w:fldCharType="end"/>
        </w:r>
      </w:p>
    </w:sdtContent>
  </w:sdt>
  <w:p>
    <w:pPr>
      <w:pStyle w:val="Footer"/>
      <w:tabs>
        <w:tab w:val="clear" w:pos="4536"/>
        <w:tab w:val="clear" w:pos="9072"/>
        <w:tab w:val="left" w:pos="1470" w:leader="none"/>
      </w:tabs>
      <w:rPr/>
    </w:pPr>
    <w:r>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Times New Roman" w:hAnsi="Times New Roman" w:cs="Times New Roman"/>
        <w:sz w:val="24"/>
        <w:szCs w:val="24"/>
      </w:rPr>
    </w:pPr>
    <w:r>
      <w:rPr>
        <w:rFonts w:cs="Times New Roman" w:ascii="Times New Roman" w:hAnsi="Times New Roman"/>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Times New Roman" w:hAnsi="Times New Roman" w:cs="Times New Roman"/>
        <w:sz w:val="24"/>
        <w:szCs w:val="24"/>
      </w:rPr>
    </w:pPr>
    <w:r>
      <w:rPr>
        <w:rFonts w:cs="Times New Roman" w:ascii="Times New Roman" w:hAnsi="Times New Roman"/>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start"/>
      <w:pPr>
        <w:tabs>
          <w:tab w:val="num" w:pos="0"/>
        </w:tabs>
        <w:ind w:start="36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suff w:val="space"/>
      <w:lvlText w:val="%1."/>
      <w:lvlJc w:val="start"/>
      <w:pPr>
        <w:tabs>
          <w:tab w:val="num" w:pos="0"/>
        </w:tabs>
        <w:ind w:start="36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cs-CZ"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cs-C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65a3"/>
    <w:pPr>
      <w:widowControl/>
      <w:bidi w:val="0"/>
      <w:spacing w:lineRule="auto" w:line="259" w:before="0" w:after="160"/>
      <w:jc w:val="start"/>
    </w:pPr>
    <w:rPr>
      <w:rFonts w:ascii="Calibri" w:hAnsi="Calibri" w:eastAsia="Calibri" w:cs="Arial"/>
      <w:color w:val="auto"/>
      <w:kern w:val="0"/>
      <w:sz w:val="22"/>
      <w:szCs w:val="22"/>
      <w:lang w:val="cs-CZ" w:eastAsia="en-US" w:bidi="ar-SA"/>
      <w14:ligatures w14:val="none"/>
    </w:rPr>
  </w:style>
  <w:style w:type="paragraph" w:styleId="Heading1">
    <w:name w:val="heading 1"/>
    <w:basedOn w:val="Normal"/>
    <w:next w:val="Normal"/>
    <w:link w:val="Nadpis1Char"/>
    <w:autoRedefine/>
    <w:uiPriority w:val="9"/>
    <w:qFormat/>
    <w:rsid w:val="00ad6077"/>
    <w:pPr>
      <w:keepNext w:val="true"/>
      <w:keepLines/>
      <w:numPr>
        <w:ilvl w:val="0"/>
        <w:numId w:val="5"/>
      </w:numPr>
      <w:spacing w:lineRule="auto" w:line="276"/>
      <w:ind w:hanging="284" w:start="284"/>
      <w:jc w:val="both"/>
      <w:outlineLvl w:val="0"/>
    </w:pPr>
    <w:rPr>
      <w:rFonts w:ascii="Times New Roman" w:hAnsi="Times New Roman" w:eastAsia="游ゴシック Light" w:cs="Times New Roman" w:eastAsiaTheme="majorEastAsia"/>
      <w:b/>
      <w:sz w:val="24"/>
      <w:szCs w:val="24"/>
    </w:rPr>
  </w:style>
  <w:style w:type="paragraph" w:styleId="Heading2">
    <w:name w:val="heading 2"/>
    <w:basedOn w:val="Normal"/>
    <w:next w:val="Normal"/>
    <w:link w:val="Nadpis2Char"/>
    <w:uiPriority w:val="9"/>
    <w:semiHidden/>
    <w:unhideWhenUsed/>
    <w:qFormat/>
    <w:rsid w:val="005114be"/>
    <w:pPr>
      <w:keepNext w:val="true"/>
      <w:keepLines/>
      <w:spacing w:before="40" w:after="0"/>
      <w:outlineLvl w:val="1"/>
    </w:pPr>
    <w:rPr>
      <w:rFonts w:ascii="Calibri Light" w:hAnsi="Calibri Light" w:eastAsia="游ゴシック Light" w:cs="Times New Roman"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semiHidden/>
    <w:unhideWhenUsed/>
    <w:rPr/>
  </w:style>
  <w:style w:type="character" w:styleId="ZhlavChar" w:customStyle="1">
    <w:name w:val="Záhlaví Char"/>
    <w:basedOn w:val="DefaultParagraphFont"/>
    <w:uiPriority w:val="99"/>
    <w:rsid w:val="0039406b"/>
    <w:rPr>
      <w:kern w:val="0"/>
      <w14:ligatures w14:val="none"/>
    </w:rPr>
  </w:style>
  <w:style w:type="character" w:styleId="ZpatChar" w:customStyle="1">
    <w:name w:val="Zápatí Char"/>
    <w:basedOn w:val="DefaultParagraphFont"/>
    <w:uiPriority w:val="99"/>
    <w:rsid w:val="0039406b"/>
    <w:rPr>
      <w:kern w:val="0"/>
      <w14:ligatures w14:val="none"/>
    </w:rPr>
  </w:style>
  <w:style w:type="character" w:styleId="cf01" w:customStyle="1">
    <w:name w:val="cf01"/>
    <w:basedOn w:val="DefaultParagraphFont"/>
    <w:rsid w:val="0039406b"/>
    <w:rPr>
      <w:rFonts w:ascii="Segoe UI" w:hAnsi="Segoe UI" w:cs="Segoe UI"/>
      <w:sz w:val="18"/>
      <w:szCs w:val="18"/>
    </w:rPr>
  </w:style>
  <w:style w:type="character" w:styleId="normaltextrun" w:customStyle="1">
    <w:name w:val="normaltextrun"/>
    <w:basedOn w:val="DefaultParagraphFont"/>
    <w:rsid w:val="0039406b"/>
    <w:rPr/>
  </w:style>
  <w:style w:type="character" w:styleId="eop" w:customStyle="1">
    <w:name w:val="eop"/>
    <w:basedOn w:val="DefaultParagraphFont"/>
    <w:rsid w:val="0039406b"/>
    <w:rPr/>
  </w:style>
  <w:style w:type="character" w:styleId="CommentReference">
    <w:name w:val="annotation reference"/>
    <w:basedOn w:val="DefaultParagraphFont"/>
    <w:unhideWhenUsed/>
    <w:rsid w:val="00a8154a"/>
    <w:rPr>
      <w:sz w:val="16"/>
      <w:szCs w:val="16"/>
    </w:rPr>
  </w:style>
  <w:style w:type="character" w:styleId="TextkomenteChar" w:customStyle="1">
    <w:name w:val="Text komentáře Char"/>
    <w:basedOn w:val="DefaultParagraphFont"/>
    <w:uiPriority w:val="99"/>
    <w:rsid w:val="00a8154a"/>
    <w:rPr>
      <w:kern w:val="0"/>
      <w:sz w:val="20"/>
      <w:szCs w:val="20"/>
      <w14:ligatures w14:val="none"/>
    </w:rPr>
  </w:style>
  <w:style w:type="character" w:styleId="Nadpis1Char" w:customStyle="1">
    <w:name w:val="Nadpis 1 Char"/>
    <w:basedOn w:val="DefaultParagraphFont"/>
    <w:uiPriority w:val="9"/>
    <w:rsid w:val="00ad6077"/>
    <w:rPr>
      <w:rFonts w:ascii="Times New Roman" w:hAnsi="Times New Roman" w:eastAsia="游ゴシック Light" w:cs="Times New Roman" w:eastAsiaTheme="majorEastAsia"/>
      <w:b/>
      <w:kern w:val="0"/>
      <w:sz w:val="24"/>
      <w:szCs w:val="24"/>
      <w14:ligatures w14:val="none"/>
    </w:rPr>
  </w:style>
  <w:style w:type="character" w:styleId="Strong">
    <w:name w:val="Strong"/>
    <w:basedOn w:val="DefaultParagraphFont"/>
    <w:uiPriority w:val="22"/>
    <w:qFormat/>
    <w:rsid w:val="00f91898"/>
    <w:rPr>
      <w:b/>
      <w:bCs/>
    </w:rPr>
  </w:style>
  <w:style w:type="character" w:styleId="Nadpis2Char" w:customStyle="1">
    <w:name w:val="Nadpis 2 Char"/>
    <w:basedOn w:val="DefaultParagraphFont"/>
    <w:uiPriority w:val="9"/>
    <w:semiHidden/>
    <w:rsid w:val="005114be"/>
    <w:rPr>
      <w:rFonts w:ascii="Calibri Light" w:hAnsi="Calibri Light" w:eastAsia="游ゴシック Light" w:cs="Times New Roman" w:asciiTheme="majorHAnsi" w:cstheme="majorBidi" w:eastAsiaTheme="majorEastAsia" w:hAnsiTheme="majorHAnsi"/>
      <w:color w:themeColor="accent1" w:themeShade="bf" w:val="2F5496"/>
      <w:kern w:val="0"/>
      <w:sz w:val="26"/>
      <w:szCs w:val="26"/>
      <w14:ligatures w14:val="none"/>
    </w:rPr>
  </w:style>
  <w:style w:type="character" w:styleId="PedmtkomenteChar" w:customStyle="1">
    <w:name w:val="Předmět komentáře Char"/>
    <w:basedOn w:val="TextkomenteChar"/>
    <w:link w:val="annotationsubject"/>
    <w:uiPriority w:val="99"/>
    <w:semiHidden/>
    <w:rsid w:val="00fb3aea"/>
    <w:rPr>
      <w:b/>
      <w:bCs/>
      <w:kern w:val="0"/>
      <w:sz w:val="20"/>
      <w:szCs w:val="20"/>
      <w14:ligatures w14:val="none"/>
    </w:rPr>
  </w:style>
  <w:style w:type="character" w:styleId="TextpoznpodarouChar" w:customStyle="1">
    <w:name w:val="Text pozn. pod čarou Char"/>
    <w:basedOn w:val="DefaultParagraphFont"/>
    <w:uiPriority w:val="99"/>
    <w:semiHidden/>
    <w:rsid w:val="002a2162"/>
    <w:rPr>
      <w:kern w:val="0"/>
      <w:sz w:val="20"/>
      <w:szCs w:val="20"/>
      <w14:ligatures w14:val="none"/>
    </w:rPr>
  </w:style>
  <w:style w:type="character" w:styleId="Znakypropoznmkupodarou">
    <w:name w:val="Znaky pro poznámku pod čarou"/>
    <w:basedOn w:val="DefaultParagraphFont"/>
    <w:uiPriority w:val="99"/>
    <w:semiHidden/>
    <w:unhideWhenUsed/>
    <w:rsid w:val="002a2162"/>
    <w:rPr>
      <w:vertAlign w:val="superscript"/>
    </w:rPr>
  </w:style>
  <w:style w:type="character" w:styleId="FootnoteReference">
    <w:name w:val="footnote reference"/>
    <w:rPr>
      <w:vertAlign w:val="superscript"/>
    </w:rPr>
  </w:style>
  <w:style w:type="character" w:styleId="highlight" w:customStyle="1">
    <w:name w:val="highlight"/>
    <w:basedOn w:val="DefaultParagraphFont"/>
    <w:rsid w:val="00637570"/>
    <w:rPr/>
  </w:style>
  <w:style w:type="character" w:styleId="Hyperlink">
    <w:name w:val="Hyperlink"/>
    <w:basedOn w:val="DefaultParagraphFont"/>
    <w:uiPriority w:val="99"/>
    <w:unhideWhenUsed/>
    <w:rsid w:val="00b813dc"/>
    <w:rPr>
      <w:color w:themeColor="hyperlink" w:val="0563C1"/>
      <w:u w:val="single"/>
    </w:rPr>
  </w:style>
  <w:style w:type="character" w:styleId="UnresolvedMention">
    <w:name w:val="Unresolved Mention"/>
    <w:basedOn w:val="DefaultParagraphFont"/>
    <w:uiPriority w:val="99"/>
    <w:semiHidden/>
    <w:unhideWhenUsed/>
    <w:rsid w:val="00b813dc"/>
    <w:rPr>
      <w:color w:val="605E5C"/>
      <w:shd w:fill="E1DFDD" w:val="clear"/>
    </w:rPr>
  </w:style>
  <w:style w:type="character" w:styleId="NzevChar" w:customStyle="1">
    <w:name w:val="Název Char"/>
    <w:basedOn w:val="DefaultParagraphFont"/>
    <w:uiPriority w:val="10"/>
    <w:rsid w:val="00ad6077"/>
    <w:rPr>
      <w:rFonts w:ascii="Times New Roman" w:hAnsi="Times New Roman" w:eastAsia="Times New Roman" w:cs="Times New Roman"/>
      <w:b/>
      <w:bCs/>
      <w:kern w:val="2"/>
      <w:sz w:val="24"/>
      <w:szCs w:val="32"/>
      <w14:ligatures w14:val="none"/>
    </w:rPr>
  </w:style>
  <w:style w:type="character" w:styleId="OdstavecseseznamemChar" w:customStyle="1">
    <w:name w:val="Odstavec se seznamem Char"/>
    <w:link w:val="ListParagraph"/>
    <w:uiPriority w:val="34"/>
    <w:qFormat/>
    <w:rsid w:val="00ad6077"/>
    <w:rPr>
      <w:kern w:val="0"/>
      <w14:ligatures w14:val="none"/>
    </w:rPr>
  </w:style>
  <w:style w:type="paragraph" w:styleId="Nadpis">
    <w:name w:val="Nadpis"/>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Rejstk">
    <w:name w:val="Rejstřík"/>
    <w:basedOn w:val="Normal"/>
    <w:pPr>
      <w:suppressLineNumbers/>
    </w:pPr>
    <w:rPr>
      <w:rFonts w:cs="Lucida Sans"/>
    </w:rPr>
  </w:style>
  <w:style w:type="paragraph" w:styleId="ListParagraph">
    <w:name w:val="List Paragraph"/>
    <w:basedOn w:val="Normal"/>
    <w:link w:val="OdstavecseseznamemChar"/>
    <w:uiPriority w:val="34"/>
    <w:qFormat/>
    <w:rsid w:val="0039406b"/>
    <w:pPr>
      <w:spacing w:before="0" w:after="160"/>
      <w:ind w:start="720"/>
      <w:contextualSpacing/>
    </w:pPr>
    <w:rPr/>
  </w:style>
  <w:style w:type="paragraph" w:styleId="Zhlavazpat">
    <w:name w:val="Záhlaví a zápatí"/>
    <w:basedOn w:val="Normal"/>
    <w:pPr/>
    <w:rPr/>
  </w:style>
  <w:style w:type="paragraph" w:styleId="Header">
    <w:name w:val="header"/>
    <w:basedOn w:val="Normal"/>
    <w:link w:val="ZhlavChar"/>
    <w:uiPriority w:val="99"/>
    <w:unhideWhenUsed/>
    <w:rsid w:val="0039406b"/>
    <w:pPr>
      <w:tabs>
        <w:tab w:val="clear" w:pos="708"/>
        <w:tab w:val="center" w:pos="4536" w:leader="none"/>
        <w:tab w:val="right" w:pos="9072" w:leader="none"/>
      </w:tabs>
      <w:spacing w:lineRule="auto" w:line="240" w:before="0" w:after="0"/>
    </w:pPr>
    <w:rPr/>
  </w:style>
  <w:style w:type="paragraph" w:styleId="Footer">
    <w:name w:val="footer"/>
    <w:basedOn w:val="Normal"/>
    <w:link w:val="ZpatChar"/>
    <w:uiPriority w:val="99"/>
    <w:unhideWhenUsed/>
    <w:rsid w:val="0039406b"/>
    <w:pPr>
      <w:tabs>
        <w:tab w:val="clear" w:pos="708"/>
        <w:tab w:val="center" w:pos="4536" w:leader="none"/>
        <w:tab w:val="right" w:pos="9072" w:leader="none"/>
      </w:tabs>
      <w:spacing w:lineRule="auto" w:line="240" w:before="0" w:after="0"/>
    </w:pPr>
    <w:rPr/>
  </w:style>
  <w:style w:type="paragraph" w:styleId="paragraph" w:customStyle="1">
    <w:name w:val="paragraph"/>
    <w:basedOn w:val="Normal"/>
    <w:rsid w:val="0039406b"/>
    <w:pPr>
      <w:spacing w:lineRule="auto" w:line="240" w:beforeAutospacing="1" w:afterAutospacing="1"/>
    </w:pPr>
    <w:rPr>
      <w:rFonts w:ascii="Times New Roman" w:hAnsi="Times New Roman" w:eastAsia="Times New Roman" w:cs="Times New Roman"/>
      <w:sz w:val="24"/>
      <w:szCs w:val="24"/>
      <w:lang w:eastAsia="cs-CZ"/>
      <w14:ligatures w14:val="standardContextual"/>
    </w:rPr>
  </w:style>
  <w:style w:type="paragraph" w:styleId="CommentText">
    <w:name w:val="annotation text"/>
    <w:basedOn w:val="Normal"/>
    <w:link w:val="TextkomenteChar"/>
    <w:uiPriority w:val="99"/>
    <w:unhideWhenUsed/>
    <w:rsid w:val="00a8154a"/>
    <w:pPr>
      <w:spacing w:lineRule="auto" w:line="240"/>
    </w:pPr>
    <w:rPr>
      <w:sz w:val="20"/>
      <w:szCs w:val="20"/>
    </w:rPr>
  </w:style>
  <w:style w:type="paragraph" w:styleId="l3" w:customStyle="1">
    <w:name w:val="l3"/>
    <w:basedOn w:val="Normal"/>
    <w:rsid w:val="001d3b15"/>
    <w:pPr>
      <w:spacing w:lineRule="auto" w:line="240" w:beforeAutospacing="1" w:afterAutospacing="1"/>
    </w:pPr>
    <w:rPr>
      <w:rFonts w:ascii="Times New Roman" w:hAnsi="Times New Roman" w:eastAsia="Times New Roman" w:cs="Times New Roman"/>
      <w:sz w:val="24"/>
      <w:szCs w:val="24"/>
      <w:lang w:eastAsia="cs-CZ"/>
    </w:rPr>
  </w:style>
  <w:style w:type="paragraph" w:styleId="l2" w:customStyle="1">
    <w:name w:val="l2"/>
    <w:basedOn w:val="Normal"/>
    <w:rsid w:val="001d3b15"/>
    <w:pPr>
      <w:spacing w:lineRule="auto" w:line="240" w:beforeAutospacing="1" w:afterAutospacing="1"/>
    </w:pPr>
    <w:rPr>
      <w:rFonts w:ascii="Times New Roman" w:hAnsi="Times New Roman" w:eastAsia="Times New Roman" w:cs="Times New Roman"/>
      <w:sz w:val="24"/>
      <w:szCs w:val="24"/>
      <w:lang w:eastAsia="cs-CZ"/>
    </w:rPr>
  </w:style>
  <w:style w:type="paragraph" w:styleId="Revision">
    <w:name w:val="Revision"/>
    <w:uiPriority w:val="99"/>
    <w:semiHidden/>
    <w:rsid w:val="00195f23"/>
    <w:pPr>
      <w:widowControl/>
      <w:bidi w:val="0"/>
      <w:spacing w:lineRule="auto" w:line="240" w:before="0" w:after="0"/>
      <w:jc w:val="start"/>
    </w:pPr>
    <w:rPr>
      <w:rFonts w:ascii="Calibri" w:hAnsi="Calibri" w:eastAsia="Calibri" w:cs="Arial"/>
      <w:color w:val="auto"/>
      <w:kern w:val="0"/>
      <w:sz w:val="22"/>
      <w:szCs w:val="22"/>
      <w:lang w:val="cs-CZ" w:eastAsia="en-US" w:bidi="ar-SA"/>
      <w14:ligatures w14:val="none"/>
    </w:rPr>
  </w:style>
  <w:style w:type="paragraph" w:styleId="annotationsubject">
    <w:name w:val="annotation subject"/>
    <w:basedOn w:val="CommentText"/>
    <w:next w:val="CommentText"/>
    <w:link w:val="PedmtkomenteChar"/>
    <w:uiPriority w:val="99"/>
    <w:semiHidden/>
    <w:unhideWhenUsed/>
    <w:rsid w:val="00fb3aea"/>
    <w:pPr/>
    <w:rPr>
      <w:b/>
      <w:bCs/>
    </w:rPr>
  </w:style>
  <w:style w:type="paragraph" w:styleId="FootnoteText">
    <w:name w:val="footnote text"/>
    <w:basedOn w:val="Normal"/>
    <w:link w:val="TextpoznpodarouChar"/>
    <w:uiPriority w:val="99"/>
    <w:semiHidden/>
    <w:unhideWhenUsed/>
    <w:rsid w:val="002a2162"/>
    <w:pPr>
      <w:spacing w:lineRule="auto" w:line="240" w:before="0" w:after="0"/>
    </w:pPr>
    <w:rPr>
      <w:sz w:val="20"/>
      <w:szCs w:val="20"/>
    </w:rPr>
  </w:style>
  <w:style w:type="paragraph" w:styleId="Title">
    <w:name w:val="Title"/>
    <w:basedOn w:val="Normal"/>
    <w:next w:val="Normal"/>
    <w:link w:val="NzevChar"/>
    <w:uiPriority w:val="10"/>
    <w:qFormat/>
    <w:rsid w:val="00ad6077"/>
    <w:pPr>
      <w:spacing w:lineRule="auto" w:line="257" w:before="240" w:after="60"/>
      <w:jc w:val="center"/>
      <w:outlineLvl w:val="0"/>
    </w:pPr>
    <w:rPr>
      <w:rFonts w:ascii="Times New Roman" w:hAnsi="Times New Roman" w:eastAsia="Times New Roman" w:cs="Times New Roman"/>
      <w:b/>
      <w:bCs/>
      <w:kern w:val="2"/>
      <w:sz w:val="24"/>
      <w:szCs w:val="32"/>
    </w:rPr>
  </w:style>
  <w:style w:type="numbering" w:styleId="Bezseznamu" w:default="1">
    <w:name w:val="Bez seznamu"/>
    <w:uiPriority w:val="99"/>
    <w:semiHidden/>
    <w:unhideWhenUsed/>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sbirka.gov.cz/" TargetMode="External"/><Relationship Id="rId3" Type="http://schemas.openxmlformats.org/officeDocument/2006/relationships/hyperlink" Target="https://e-sbirka.gov.cz/sb/2005/383?odkazId=178892511" TargetMode="External"/><Relationship Id="rId4" Type="http://schemas.openxmlformats.org/officeDocument/2006/relationships/hyperlink" Target="https://e-sbirka.gov.cz/sb/2006/179?odkazId=178892527" TargetMode="External"/><Relationship Id="rId5" Type="http://schemas.openxmlformats.org/officeDocument/2006/relationships/hyperlink" Target="https://e-sbirka.gov.cz/sb/2006/264?odkazId=178892543" TargetMode="External"/><Relationship Id="rId6" Type="http://schemas.openxmlformats.org/officeDocument/2006/relationships/hyperlink" Target="https://e-sbirka.gov.cz/" TargetMode="External"/><Relationship Id="rId7" Type="http://schemas.openxmlformats.org/officeDocument/2006/relationships/hyperlink" Target="https://e-sbirka.gov.cz/sb/2008/384?odkazId=178892575" TargetMode="External"/><Relationship Id="rId8" Type="http://schemas.openxmlformats.org/officeDocument/2006/relationships/hyperlink" Target="https://e-sbirka.gov.cz/" TargetMode="External"/><Relationship Id="rId9" Type="http://schemas.openxmlformats.org/officeDocument/2006/relationships/hyperlink" Target="https://e-sbirka.gov.cz/" TargetMode="External"/><Relationship Id="rId10" Type="http://schemas.openxmlformats.org/officeDocument/2006/relationships/hyperlink" Target="https://e-sbirka.gov.cz/sb/2009/422?odkazId=178892623" TargetMode="External"/><Relationship Id="rId11" Type="http://schemas.openxmlformats.org/officeDocument/2006/relationships/hyperlink" Target="https://e-sbirka.gov.cz/sb/2010/159?odkazId=178892639" TargetMode="External"/><Relationship Id="rId12" Type="http://schemas.openxmlformats.org/officeDocument/2006/relationships/hyperlink" Target="https://e-sbirka.gov.cz/" TargetMode="External"/><Relationship Id="rId13" Type="http://schemas.openxmlformats.org/officeDocument/2006/relationships/hyperlink" Target="https://e-sbirka.gov.cz/sb/2012/198?odkazId=178892671" TargetMode="External"/><Relationship Id="rId14" Type="http://schemas.openxmlformats.org/officeDocument/2006/relationships/hyperlink" Target="https://e-sbirka.gov.cz/sb/2012/333?odkazId=178892687" TargetMode="External"/><Relationship Id="rId15" Type="http://schemas.openxmlformats.org/officeDocument/2006/relationships/hyperlink" Target="https://e-sbirka.gov.cz/sb/2014/197?odkazId=178892703" TargetMode="External"/><Relationship Id="rId16" Type="http://schemas.openxmlformats.org/officeDocument/2006/relationships/hyperlink" Target="https://e-sbirka.gov.cz/sb/2014/332?odkazId=178892719" TargetMode="External"/><Relationship Id="rId17" Type="http://schemas.openxmlformats.org/officeDocument/2006/relationships/hyperlink" Target="https://e-sbirka.gov.cz/sb/2015/82?odkazId=178892735" TargetMode="External"/><Relationship Id="rId18" Type="http://schemas.openxmlformats.org/officeDocument/2006/relationships/hyperlink" Target="https://e-sbirka.gov.cz/sb/2015/379?odkazId=178892751" TargetMode="External"/><Relationship Id="rId19" Type="http://schemas.openxmlformats.org/officeDocument/2006/relationships/hyperlink" Target="https://e-sbirka.gov.cz/sb/2023/183?odkazId=178892767" TargetMode="External"/><Relationship Id="rId20" Type="http://schemas.openxmlformats.org/officeDocument/2006/relationships/hyperlink" Target="https://e-sbirka.gov.cz/sb/2024/196?odkazId=178892783" TargetMode="External"/><Relationship Id="rId21" Type="http://schemas.openxmlformats.org/officeDocument/2006/relationships/hyperlink" Target="https://www.paqresearch.cz/post/inkluze/" TargetMode="External"/><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header" Target="header3.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oter" Target="footer3.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Relationship Id="rId33" Type="http://schemas.openxmlformats.org/officeDocument/2006/relationships/customXml" Target="../customXml/item2.xml"/><Relationship Id="rId34" Type="http://schemas.openxmlformats.org/officeDocument/2006/relationships/customXml" Target="../customXml/item3.xml"/><Relationship Id="rId35"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362d4c-9ca3-46a5-bb3d-9a3702975351">
      <Terms xmlns="http://schemas.microsoft.com/office/infopath/2007/PartnerControls"/>
    </lcf76f155ced4ddcb4097134ff3c332f>
    <TaxCatchAll xmlns="77e9a081-f4e6-4638-bbde-1100905a5f6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67B6EC31FD77B4797413313D816D3D5" ma:contentTypeVersion="10" ma:contentTypeDescription="Vytvoří nový dokument" ma:contentTypeScope="" ma:versionID="b555d8dd58fd57fcc19a02fc0587c8b0">
  <xsd:schema xmlns:xsd="http://www.w3.org/2001/XMLSchema" xmlns:xs="http://www.w3.org/2001/XMLSchema" xmlns:p="http://schemas.microsoft.com/office/2006/metadata/properties" xmlns:ns2="ae362d4c-9ca3-46a5-bb3d-9a3702975351" xmlns:ns3="77e9a081-f4e6-4638-bbde-1100905a5f62" targetNamespace="http://schemas.microsoft.com/office/2006/metadata/properties" ma:root="true" ma:fieldsID="89ba5badcaa75dd78f39e15e6cee7704" ns2:_="" ns3:_="">
    <xsd:import namespace="ae362d4c-9ca3-46a5-bb3d-9a3702975351"/>
    <xsd:import namespace="77e9a081-f4e6-4638-bbde-1100905a5f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62d4c-9ca3-46a5-bb3d-9a3702975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7705af95-af8b-4274-9321-7e268ee4833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e9a081-f4e6-4638-bbde-1100905a5f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60f54d-0582-4ecd-bf73-c3e6d8aecfd2}" ma:internalName="TaxCatchAll" ma:showField="CatchAllData" ma:web="77e9a081-f4e6-4638-bbde-1100905a5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510C5-0E71-4369-881D-76E5AE849CDD}">
  <ds:schemaRefs>
    <ds:schemaRef ds:uri="http://schemas.openxmlformats.org/officeDocument/2006/bibliography"/>
  </ds:schemaRefs>
</ds:datastoreItem>
</file>

<file path=customXml/itemProps2.xml><?xml version="1.0" encoding="utf-8"?>
<ds:datastoreItem xmlns:ds="http://schemas.openxmlformats.org/officeDocument/2006/customXml" ds:itemID="{2E3697DA-0A31-469C-BC84-378723FD7C9B}">
  <ds:schemaRefs>
    <ds:schemaRef ds:uri="http://schemas.microsoft.com/sharepoint/v3/contenttype/forms"/>
  </ds:schemaRefs>
</ds:datastoreItem>
</file>

<file path=customXml/itemProps3.xml><?xml version="1.0" encoding="utf-8"?>
<ds:datastoreItem xmlns:ds="http://schemas.openxmlformats.org/officeDocument/2006/customXml" ds:itemID="{59EE1F28-8119-4DB9-B43C-BE7827738BC0}">
  <ds:schemaRefs>
    <ds:schemaRef ds:uri="http://schemas.microsoft.com/office/2006/metadata/properties"/>
    <ds:schemaRef ds:uri="http://schemas.microsoft.com/office/infopath/2007/PartnerControls"/>
    <ds:schemaRef ds:uri="ae362d4c-9ca3-46a5-bb3d-9a3702975351"/>
    <ds:schemaRef ds:uri="77e9a081-f4e6-4638-bbde-1100905a5f62"/>
  </ds:schemaRefs>
</ds:datastoreItem>
</file>

<file path=customXml/itemProps4.xml><?xml version="1.0" encoding="utf-8"?>
<ds:datastoreItem xmlns:ds="http://schemas.openxmlformats.org/officeDocument/2006/customXml" ds:itemID="{AB104A64-CB04-44B0-9565-226F82CE4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62d4c-9ca3-46a5-bb3d-9a3702975351"/>
    <ds:schemaRef ds:uri="77e9a081-f4e6-4638-bbde-1100905a5f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LibreOffice/26.8.1.1$Windows_X86_64 LibreOffice_project/bf6ef2662401c7d6dce671ab4deb26ee0af3a7c1</Application>
  <AppVersion>15.0000</AppVersion>
  <Pages>15</Pages>
  <Words>9020</Words>
  <Characters>52200</Characters>
  <CharactersWithSpaces>61151</CharactersWithSpaces>
  <Paragraphs>260</Paragraphs>
  <Company>MSMT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2026-10-20T19:41:00Z</dcterms:created>
  <dc:creator>Gaňo Tereza</dc:creator>
  <dc:description/>
  <dc:language>en-GB</dc:language>
  <cp:lastModifiedBy>Gaňo Tereza</cp:lastModifiedBy>
  <dcterms:modified xsi:type="dcterms:W3CDTF">2026-10-22T18:17:00Z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0x010100467B6EC31FD77B4797413313D816D3D5</vt:lpwstr>
  </property>
  <property fmtid="{D5CDD505-2E9C-101B-9397-08002B2CF9AE}" pid="3" name="MediaServiceImageTags">
    <vt:lpwstr/>
  </property>
  <property fmtid="{D5CDD505-2E9C-101B-9397-08002B2CF9AE}" pid="4" name="docLang">
    <vt:lpwstr>cs</vt:lpwstr>
  </property>
</Properties>
</file>