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6090" w:leader="none"/>
        </w:tabs>
        <w:jc w:val="center"/>
        <w:rPr/>
      </w:pPr>
      <w:r>
        <w:rPr/>
        <w:t>N á v r h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VYHLÁŠKA</w:t>
      </w:r>
    </w:p>
    <w:p>
      <w:pPr>
        <w:pStyle w:val="Normal"/>
        <w:jc w:val="center"/>
        <w:rPr/>
      </w:pPr>
      <w:r>
        <w:rPr/>
        <w:t>ze dne ……2021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 stanovení následků povinného očkování spočívajících v újmě na zdraví, u kterých je na základě odborného medicínského poznání pravděpodobné, že nastanou, a době, ve které tyto následky po provedení daného povinného očkování nastanou</w:t>
      </w:r>
    </w:p>
    <w:p>
      <w:pPr>
        <w:pStyle w:val="Normal"/>
        <w:jc w:val="center"/>
        <w:rPr>
          <w:b/>
          <w:b/>
        </w:rPr>
      </w:pPr>
      <w:r>
        <w:rPr>
          <w:b/>
        </w:rPr>
        <w:t>(vyhláška o následcích povinného očkování)</w:t>
      </w:r>
      <w:bookmarkStart w:id="0" w:name="_Hlk86236874"/>
      <w:bookmarkEnd w:id="0"/>
    </w:p>
    <w:p>
      <w:pPr>
        <w:pStyle w:val="Normal"/>
        <w:rPr>
          <w:b/>
          <w:b/>
          <w:strike/>
        </w:rPr>
      </w:pPr>
      <w:r>
        <w:rPr>
          <w:b/>
          <w:strike/>
        </w:rPr>
      </w:r>
    </w:p>
    <w:p>
      <w:pPr>
        <w:pStyle w:val="Normal"/>
        <w:rPr/>
      </w:pPr>
      <w:r>
        <w:rPr/>
        <w:t xml:space="preserve">          </w:t>
      </w:r>
      <w:r>
        <w:rPr/>
        <w:t xml:space="preserve">Ministerstvo zdravotnictví stanoví podle § 8 a k provedení § 3 zákona č. 116/2020 Sb., o náhradě újmy způsobené povinným očkováním: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§ 1</w:t>
      </w:r>
    </w:p>
    <w:p>
      <w:pPr>
        <w:pStyle w:val="Normal"/>
        <w:rPr/>
      </w:pPr>
      <w:r>
        <w:rPr/>
        <w:t xml:space="preserve">         </w:t>
      </w:r>
      <w:r>
        <w:rPr/>
        <w:t>Následky povinného očkování spočívající v újmě na zdraví, u kterých je na základě odborného medicínského poznání pravděpodobné, že nastanou, a doba, ve které tyto následky po provedení daného povinného očkování nastanou, jsou uvedeny v příloze k této vyhlášce.</w:t>
      </w:r>
    </w:p>
    <w:p>
      <w:pPr>
        <w:pStyle w:val="Normal"/>
        <w:jc w:val="center"/>
        <w:rPr/>
      </w:pPr>
      <w:r>
        <w:rPr/>
        <w:t>§ 2</w:t>
      </w:r>
    </w:p>
    <w:p>
      <w:pPr>
        <w:pStyle w:val="Normal"/>
        <w:jc w:val="center"/>
        <w:rPr>
          <w:b/>
          <w:b/>
        </w:rPr>
      </w:pPr>
      <w:r>
        <w:rPr>
          <w:b/>
        </w:rPr>
        <w:t>Účinnost</w:t>
      </w:r>
    </w:p>
    <w:p>
      <w:pPr>
        <w:pStyle w:val="Normal"/>
        <w:rPr/>
      </w:pPr>
      <w:r>
        <w:rPr>
          <w:b/>
        </w:rPr>
        <w:t xml:space="preserve">          </w:t>
      </w:r>
      <w:r>
        <w:rPr/>
        <w:t>Tato vyhláška nabývá účinnosti dnem následujícím po dni jejího vyhlášení.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Ministr:</w:t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  <w:t>Příloha k vyhlášce č.   …/2021 Sb.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Následky povinného očkování spočívající v újmě na zdraví, u kterých je na základě odborného medicínského poznání pravděpodobné, že nastanou, a doba, ve které tyto následky po provedení daného povinného očkování nastanou</w:t>
      </w:r>
    </w:p>
    <w:p>
      <w:pPr>
        <w:pStyle w:val="Normal"/>
        <w:rPr>
          <w:color w:val="1F497D"/>
        </w:rPr>
      </w:pPr>
      <w:r>
        <w:rPr>
          <w:color w:val="1F497D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561"/>
        <w:gridCol w:w="1904"/>
        <w:gridCol w:w="2233"/>
        <w:gridCol w:w="2141"/>
        <w:gridCol w:w="2223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>
                <w:b/>
              </w:rPr>
              <w:t>Infekční nemoci, proti nimž je ve stanovených případech povinné očkování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Následky povinného očkování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  <w:t>Doba, ve které následky po provedení daného povinného očkování nastanou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Očkovací látky, včetně případných kombinací</w:t>
            </w:r>
          </w:p>
          <w:p>
            <w:pPr>
              <w:pStyle w:val="Normal"/>
              <w:widowControl w:val="false"/>
              <w:spacing w:before="0" w:after="12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dávivý kašel a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záškrt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anafylaktický šok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4 hodin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DTaP-Hib-IPV-HBV, DTaP-Hib-IPV, DTaP, DTaP-Hib, DTaP-IPV, Tdap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brachiální neuritida (stranově příslušná)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2 až 28 dní</w:t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 xml:space="preserve">      </w:t>
            </w:r>
            <w:r>
              <w:rPr/>
              <w:t>encefalitida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72 hodin</w:t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2.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tetanus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anafylaktický šok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4 hodin</w:t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DTaP-Hib-IPV-HBV, DTaP-Hib-IPV, DTaP, DTaP-Hib, DTaP-IPV, Td, TT,  Tdap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brachiální neuritida (stranově příslušná)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2 až 28 dní</w:t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vertAlign w:val="superscript"/>
              </w:rPr>
            </w:pPr>
            <w:r>
              <w:rPr/>
              <w:t>encefalitida</w:t>
            </w:r>
            <w:r>
              <w:rPr>
                <w:vertAlign w:val="superscript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72 hodin</w:t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 xml:space="preserve">3.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invazivní onemocnění vyvolané původcem Haemophilus influenzae typ b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anafylaktický šok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do 4 hodin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DTaP-Hib-IPV-HBV, DTaP-Hib-IPV, DTaP-Hib, Hib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4.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 xml:space="preserve">přenosná dětská obrna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anafylaktický šok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4 hodin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IPV, DTaP-Hib-IPV-HBV, DTaP-Hib-IPV, DTaP-IPV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 xml:space="preserve">5.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virová hepatitida B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anafylaktický šok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do 4 hodin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HBV, DTaP-Hib-IPV-HBV, HAV-HBV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6.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příušnice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anafylaktický šok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 4 hodin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MMR, MMRV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encefalitida</w:t>
            </w:r>
            <w:r>
              <w:rPr>
                <w:vertAlign w:val="superscript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 až 15 dní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7.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zarděnky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anafylaktický šok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 4 hodin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MMR, MMRV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encefalitida</w:t>
            </w:r>
            <w:r>
              <w:rPr>
                <w:vertAlign w:val="superscript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 až 15 dní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chronická artritida</w:t>
            </w:r>
            <w:r>
              <w:rPr>
                <w:vertAlign w:val="superscript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 až 42 dní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R, MMR, MMRV</w:t>
            </w:r>
          </w:p>
        </w:tc>
      </w:tr>
      <w:tr>
        <w:trPr/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8.</w:t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spalničky 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anafylaktický šok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 4 hodin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MMR, MMRV</w:t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encefalitida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 až 15 dní</w:t>
            </w:r>
          </w:p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</w:tr>
      <w:tr>
        <w:trPr/>
        <w:tc>
          <w:tcPr>
            <w:tcW w:w="5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1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trombocytopenická purpura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7 až 30 dní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M, MMR, MMRV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>9.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 xml:space="preserve">tuberkulóza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ulcerace, abscesy, kolikvace axilárních mízních uzlin nebo fatální diseminovaná BCGitída</w:t>
            </w:r>
          </w:p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2 až 28 dní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BCG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/>
            </w:pPr>
            <w:r>
              <w:rPr/>
              <w:t xml:space="preserve">10.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pneumokokové nákazy</w:t>
            </w:r>
          </w:p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anafylaktický šok</w:t>
            </w:r>
          </w:p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do 4 hodin</w:t>
            </w:r>
          </w:p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color w:val="FF0000"/>
              </w:rPr>
            </w:pPr>
            <w:r>
              <w:rPr/>
              <w:t>PCV/PPSV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Vysvětlení pojmů </w:t>
      </w:r>
    </w:p>
    <w:p>
      <w:pPr>
        <w:pStyle w:val="Normal"/>
        <w:rPr>
          <w:b/>
          <w:b/>
        </w:rPr>
      </w:pPr>
      <w:r>
        <w:rPr>
          <w:b/>
        </w:rPr>
        <w:t>Pro účely této přílohy se rozumí: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anafylaktickým šokem akutní, vážná a potenciálně smrtelná systémová porucha, cirkulační kolaps, který se vyskytuje jako jediná samostatná událost se současným zapojením 2 nebo více orgánových systémů. Příznaky začínají minuty až obvykle 4 hodiny po expozici. Smrt, pokud k ní dojde, je obvykle důsledkem zúžení až uzávěru dýchacích cest způsobených laryngeálním otokem nebo bronchospasmem a může být spojena s kardiovaskulárním kolapsem. Dalšími významnými klinickými příznaky mohou být: cyanóza, hypotenze, bradykardie, tachykardie, arytmie, edém faryngu a/nebo průdušnice a/nebo hrtanu se stridorem a chrčením;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brachiální neuritidou zánětlivé onemocnění nervů brachiálního pletence: ramene a paže. Vyznačuje se ztrátou pohyblivosti, bolestí a ztuhlostí paže a ramene;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encefalitidou zánětlivé onemocnění centrálního nervového systému. Prokazuje se přítomností neurologické dysfunkce a důkazem o zánětlivé aktivitě v mozku. Příznaky jsou horečka, bolesti hlavy, zmatení, zvracení, postupem času pak letargie, záchvaty, poruchy krátkodobé i dlouhodobé paměti, lokalizovaná paralýza, hemiplegie, polyneuritida a křeče. V extrémních případech dochází až ke kómatu a smrti;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chronickou artritidou vleklý zánět kloubů, projevující se bolestí a ztuhlostí kloubu, spojené se sníženým rozsahem pohybu postiženého kloubu;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trombocytopenickou purpurou autoimunitní onemocnění způsobené protilátkami proti krevním destičkám. Vlivem těchto protilátek dochází ke zvýšené destrukci krevních destiček a zároveň je nedostatečná jejich produkce v kostní dřeni;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 xml:space="preserve">ulcerací stav vedoucí ke vzniku vředu následkem porušení celistvosti epitelu a rozpadu (nekrózy) kůže; </w:t>
      </w:r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abscesem ohraničená patologická dutina vzniklá zánětem a vyplněná hnisem. Absces v měkkých tkáních může způsobit jejich poškození v důsledku útlaku a další komplikace v případě jeho zánětu;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kolikvací axilárních mízních uzlin proměna tkáně mízních uzlin na tekutou hmotu;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/>
        <w:t>fatální diseminovanou BCGitídou hnisavý zánět lymfatických cest, které jsou spádové k místu očkování. Charakteristické je lokální zarudnutí doprovázené stejnostranným rozšířením spádových mízních uzlin.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Seznam použitých zkratek</w:t>
      </w:r>
    </w:p>
    <w:p>
      <w:pPr>
        <w:pStyle w:val="Normal"/>
        <w:rPr/>
      </w:pPr>
      <w:r>
        <w:rPr/>
        <w:t xml:space="preserve">DTaP = očkovací látka proti záškrtu, tetanu, s nebuněčnou složkou proti dávivému kašli </w:t>
      </w:r>
    </w:p>
    <w:p>
      <w:pPr>
        <w:pStyle w:val="Normal"/>
        <w:rPr/>
      </w:pPr>
      <w:r>
        <w:rPr/>
        <w:t xml:space="preserve">Hib = očkovací látka proti Haemophilus influenzae typ b </w:t>
      </w:r>
    </w:p>
    <w:p>
      <w:pPr>
        <w:pStyle w:val="Normal"/>
        <w:rPr/>
      </w:pPr>
      <w:r>
        <w:rPr/>
        <w:t xml:space="preserve">IPV = očkovací látka proti přenosné dětské obrně </w:t>
      </w:r>
    </w:p>
    <w:p>
      <w:pPr>
        <w:pStyle w:val="Normal"/>
        <w:rPr/>
      </w:pPr>
      <w:r>
        <w:rPr/>
        <w:t xml:space="preserve">HBV = očkovací látka proti virové hepatitidě typ B </w:t>
      </w:r>
    </w:p>
    <w:p>
      <w:pPr>
        <w:pStyle w:val="Normal"/>
        <w:rPr/>
      </w:pPr>
      <w:r>
        <w:rPr/>
        <w:t xml:space="preserve">aP = nebuněčná očkovací látka proti dávivému kašli </w:t>
      </w:r>
    </w:p>
    <w:p>
      <w:pPr>
        <w:pStyle w:val="Normal"/>
        <w:rPr/>
      </w:pPr>
      <w:r>
        <w:rPr/>
        <w:t xml:space="preserve">Td = očkovací látka proti tetanu, se sníženým množstvím difterického toxoidu   </w:t>
      </w:r>
    </w:p>
    <w:p>
      <w:pPr>
        <w:pStyle w:val="Normal"/>
        <w:rPr/>
      </w:pPr>
      <w:r>
        <w:rPr/>
        <w:t>TT = očkovací látka proti tetanu (tetanický toxoid)</w:t>
      </w:r>
    </w:p>
    <w:p>
      <w:pPr>
        <w:pStyle w:val="Normal"/>
        <w:rPr/>
      </w:pPr>
      <w:r>
        <w:rPr/>
        <w:t>Tdap = očkovací látka s tetanickým toxoidem, se sníženým množstvím difterického toxoidu a s nebuněčnou složkou proti dávivému kašli</w:t>
      </w:r>
    </w:p>
    <w:p>
      <w:pPr>
        <w:pStyle w:val="Normal"/>
        <w:rPr/>
      </w:pPr>
      <w:r>
        <w:rPr/>
        <w:t>HAV = očkovací látka proti virové hepatitidě typ A</w:t>
      </w:r>
    </w:p>
    <w:p>
      <w:pPr>
        <w:pStyle w:val="Normal"/>
        <w:rPr/>
      </w:pPr>
      <w:r>
        <w:rPr/>
        <w:t xml:space="preserve">MMR = očkovací látka proti spalničkám, zarděnkám a příušnicím </w:t>
      </w:r>
    </w:p>
    <w:p>
      <w:pPr>
        <w:pStyle w:val="Normal"/>
        <w:rPr/>
      </w:pPr>
      <w:r>
        <w:rPr/>
        <w:t xml:space="preserve">MMRV = očkovací látka proti spalničkám, zarděnkám, příušnicím a planým neštovicím </w:t>
      </w:r>
    </w:p>
    <w:p>
      <w:pPr>
        <w:pStyle w:val="Normal"/>
        <w:rPr/>
      </w:pPr>
      <w:r>
        <w:rPr/>
        <w:t xml:space="preserve">M = očkovací látka proti spalničkám </w:t>
      </w:r>
    </w:p>
    <w:p>
      <w:pPr>
        <w:pStyle w:val="Normal"/>
        <w:rPr/>
      </w:pPr>
      <w:r>
        <w:rPr/>
        <w:t xml:space="preserve">R = očkovací látka proti zarděnkám </w:t>
      </w:r>
    </w:p>
    <w:p>
      <w:pPr>
        <w:pStyle w:val="Normal"/>
        <w:rPr/>
      </w:pPr>
      <w:r>
        <w:rPr/>
        <w:t>BCG = očkovací látka proti tuberkulóze (Bacillus Calmette – Guérin, BCG)</w:t>
      </w:r>
    </w:p>
    <w:p>
      <w:pPr>
        <w:pStyle w:val="Normal"/>
        <w:rPr/>
      </w:pPr>
      <w:r>
        <w:rPr/>
        <w:t>PCV/PPSV = očkovací látka proti pneumokokovým nákazám konjugovaná/polysacharidová</w:t>
      </w:r>
    </w:p>
    <w:p>
      <w:pPr>
        <w:pStyle w:val="Normal"/>
        <w:jc w:val="center"/>
        <w:rPr>
          <w:rFonts w:cs="Arial"/>
          <w:b/>
          <w:b/>
          <w:szCs w:val="22"/>
        </w:rPr>
      </w:pPr>
      <w:r>
        <w:rPr>
          <w:rFonts w:cs="Arial"/>
          <w:b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</w:rPr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1077" w:top="1814" w:footer="669" w:bottom="156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ill Sans">
    <w:charset w:val="ee"/>
    <w:family w:val="roman"/>
    <w:pitch w:val="variable"/>
  </w:font>
  <w:font w:name="Gill Sans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120"/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spacing w:before="0" w:after="0"/>
      <w:ind w:left="0" w:hanging="0"/>
      <w:rPr>
        <w:rFonts w:ascii="Gill Sans MT" w:hAnsi="Gill Sans MT"/>
      </w:rPr>
    </w:pPr>
    <w:r>
      <w:rPr>
        <w:rFonts w:ascii="Gill Sans MT" w:hAnsi="Gill Sans M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120"/>
      <w:ind w:left="0" w:hanging="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0" w:after="120"/>
      <w:ind w:left="0" w:hanging="0"/>
      <w:jc w:val="both"/>
      <w:rPr>
        <w:rFonts w:ascii="Arial" w:hAnsi="Arial" w:cs="Arial"/>
        <w:sz w:val="22"/>
        <w:szCs w:val="22"/>
      </w:rPr>
    </w:pPr>
    <w:r>
      <w:rPr>
        <w:rFonts w:cs="Arial" w:ascii="Arial" w:hAnsi="Arial"/>
        <w:sz w:val="22"/>
        <w:szCs w:val="22"/>
      </w:rPr>
      <w:tab/>
      <w:tab/>
      <w:tab/>
    </w:r>
    <w:r>
      <w:rPr>
        <w:rFonts w:cs="Arial" w:ascii="Arial" w:hAnsi="Arial"/>
        <w:b/>
        <w:bCs/>
        <w:sz w:val="22"/>
        <w:szCs w:val="22"/>
      </w:rPr>
      <w:t>II</w:t>
    </w:r>
    <w:r>
      <w:rPr>
        <w:rFonts w:cs="Arial" w:ascii="Arial" w:hAnsi="Arial"/>
        <w:sz w:val="22"/>
        <w:szCs w:val="22"/>
      </w:rPr>
      <w:t>.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qFormat="1"/>
    <w:lsdException w:name="heading 3" w:uiPriority="9" w:semiHidden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602a"/>
    <w:pPr>
      <w:widowControl/>
      <w:bidi w:val="0"/>
      <w:spacing w:lineRule="auto" w:line="276" w:before="0" w:after="120"/>
      <w:jc w:val="both"/>
    </w:pPr>
    <w:rPr>
      <w:rFonts w:ascii="Arial" w:hAnsi="Arial" w:eastAsia="Times New Roman" w:cs="Times New Roman"/>
      <w:color w:val="000000"/>
      <w:kern w:val="0"/>
      <w:sz w:val="22"/>
      <w:szCs w:val="24"/>
      <w:lang w:val="cs-CZ" w:eastAsia="cs-CZ" w:bidi="ar-SA"/>
    </w:rPr>
  </w:style>
  <w:style w:type="paragraph" w:styleId="Nadpis1">
    <w:name w:val="Heading 1"/>
    <w:basedOn w:val="Nadpis2"/>
    <w:next w:val="Normal"/>
    <w:link w:val="Nadpis1Char"/>
    <w:autoRedefine/>
    <w:uiPriority w:val="9"/>
    <w:qFormat/>
    <w:rsid w:val="0080162b"/>
    <w:pPr>
      <w:tabs>
        <w:tab w:val="clear" w:pos="708"/>
        <w:tab w:val="left" w:pos="1965" w:leader="none"/>
        <w:tab w:val="left" w:pos="3180" w:leader="none"/>
      </w:tabs>
      <w:spacing w:before="0" w:after="0"/>
      <w:ind w:left="142" w:hanging="0"/>
      <w:outlineLvl w:val="0"/>
    </w:pPr>
    <w:rPr>
      <w:b/>
      <w:color w:val="auto"/>
    </w:rPr>
  </w:style>
  <w:style w:type="paragraph" w:styleId="Nadpis2">
    <w:name w:val="Heading 2"/>
    <w:basedOn w:val="Normal"/>
    <w:next w:val="Normal"/>
    <w:link w:val="Nadpis2Char"/>
    <w:uiPriority w:val="9"/>
    <w:qFormat/>
    <w:rsid w:val="007d619a"/>
    <w:pPr>
      <w:keepNext w:val="true"/>
      <w:spacing w:before="120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al"/>
    <w:next w:val="Normal"/>
    <w:link w:val="Nadpis3Char"/>
    <w:uiPriority w:val="9"/>
    <w:qFormat/>
    <w:rsid w:val="008e251c"/>
    <w:pPr>
      <w:keepNext w:val="true"/>
      <w:spacing w:before="240" w:after="60"/>
      <w:outlineLvl w:val="2"/>
    </w:pPr>
    <w:rPr>
      <w:rFonts w:cs="Arial"/>
      <w:b/>
      <w:bCs/>
      <w:sz w:val="20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locked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styleId="Nadpis2Char" w:customStyle="1">
    <w:name w:val="Nadpis 2 Char"/>
    <w:basedOn w:val="DefaultParagraphFont"/>
    <w:link w:val="Nadpis2"/>
    <w:uiPriority w:val="9"/>
    <w:qFormat/>
    <w:locked/>
    <w:rsid w:val="007d619a"/>
    <w:rPr>
      <w:rFonts w:ascii="Arial" w:hAnsi="Arial" w:cs="Arial"/>
      <w:bCs/>
      <w:iCs/>
      <w:color w:val="000000"/>
      <w:sz w:val="28"/>
      <w:szCs w:val="28"/>
      <w:lang w:val="cs-CZ" w:eastAsia="cs-CZ" w:bidi="ar-SA"/>
    </w:rPr>
  </w:style>
  <w:style w:type="character" w:styleId="Nadpis3Char" w:customStyle="1">
    <w:name w:val="Nadpis 3 Char"/>
    <w:basedOn w:val="DefaultParagraphFont"/>
    <w:link w:val="Nadpis3"/>
    <w:uiPriority w:val="9"/>
    <w:qFormat/>
    <w:locked/>
    <w:rsid w:val="008e251c"/>
    <w:rPr>
      <w:rFonts w:ascii="Arial" w:hAnsi="Arial" w:cs="Arial"/>
      <w:b/>
      <w:bCs/>
      <w:color w:val="000000"/>
      <w:sz w:val="26"/>
      <w:szCs w:val="26"/>
      <w:lang w:val="cs-CZ" w:eastAsia="cs-CZ" w:bidi="ar-SA"/>
    </w:rPr>
  </w:style>
  <w:style w:type="character" w:styleId="ZhlavChar" w:customStyle="1">
    <w:name w:val="Záhlaví Char"/>
    <w:basedOn w:val="DefaultParagraphFont"/>
    <w:link w:val="Zhlav"/>
    <w:uiPriority w:val="99"/>
    <w:qFormat/>
    <w:locked/>
    <w:rPr>
      <w:rFonts w:ascii="Arial" w:hAnsi="Arial" w:cs="Times New Roman"/>
      <w:color w:val="000000"/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locked/>
    <w:rPr>
      <w:rFonts w:ascii="Arial" w:hAnsi="Arial" w:cs="Times New Roman"/>
      <w:color w:val="000000"/>
      <w:sz w:val="24"/>
      <w:szCs w:val="24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locked/>
    <w:rPr>
      <w:rFonts w:ascii="Tahoma" w:hAnsi="Tahoma" w:cs="Tahoma"/>
      <w:color w:val="000000"/>
      <w:sz w:val="16"/>
      <w:szCs w:val="16"/>
    </w:rPr>
  </w:style>
  <w:style w:type="character" w:styleId="TextbublinyChar" w:customStyle="1">
    <w:name w:val="Text bubliny Char"/>
    <w:basedOn w:val="DefaultParagraphFont"/>
    <w:link w:val="Textbubliny"/>
    <w:uiPriority w:val="99"/>
    <w:qFormat/>
    <w:locked/>
    <w:rsid w:val="003c3415"/>
    <w:rPr>
      <w:rFonts w:ascii="Tahoma" w:hAnsi="Tahoma" w:cs="Tahoma"/>
      <w:color w:val="000000"/>
      <w:sz w:val="16"/>
      <w:szCs w:val="16"/>
    </w:rPr>
  </w:style>
  <w:style w:type="character" w:styleId="Jmeno" w:customStyle="1">
    <w:name w:val="jmeno"/>
    <w:qFormat/>
    <w:rsid w:val="00ab640f"/>
    <w:rPr/>
  </w:style>
  <w:style w:type="character" w:styleId="Internetovodkaz">
    <w:name w:val="Internetový odkaz"/>
    <w:basedOn w:val="DefaultParagraphFont"/>
    <w:uiPriority w:val="99"/>
    <w:rsid w:val="00e15fe8"/>
    <w:rPr>
      <w:rFonts w:cs="Times New Roman"/>
      <w:color w:val="0563C1" w:themeColor="hyperlink"/>
      <w:u w:val="single"/>
    </w:rPr>
  </w:style>
  <w:style w:type="character" w:styleId="OdstavecseseznamemChar" w:customStyle="1">
    <w:name w:val="Odstavec se seznamem Char"/>
    <w:link w:val="Odstavecseseznamem"/>
    <w:uiPriority w:val="34"/>
    <w:qFormat/>
    <w:locked/>
    <w:rsid w:val="00101d86"/>
    <w:rPr>
      <w:rFonts w:ascii="Calibri" w:hAnsi="Calibri"/>
      <w:sz w:val="22"/>
      <w:lang w:val="x-none" w:eastAsia="en-US"/>
    </w:rPr>
  </w:style>
  <w:style w:type="character" w:styleId="ZkladntextChar" w:customStyle="1">
    <w:name w:val="Základní text Char"/>
    <w:basedOn w:val="DefaultParagraphFont"/>
    <w:link w:val="Zkladntext"/>
    <w:uiPriority w:val="99"/>
    <w:qFormat/>
    <w:locked/>
    <w:rsid w:val="00101d86"/>
    <w:rPr>
      <w:rFonts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01d86"/>
    <w:rPr>
      <w:rFonts w:cs="Times New Roman"/>
      <w:b/>
    </w:rPr>
  </w:style>
  <w:style w:type="character" w:styleId="Zkladntext2Char" w:customStyle="1">
    <w:name w:val="Základní text 2 Char"/>
    <w:basedOn w:val="DefaultParagraphFont"/>
    <w:link w:val="Zkladntext2"/>
    <w:uiPriority w:val="99"/>
    <w:semiHidden/>
    <w:qFormat/>
    <w:locked/>
    <w:rsid w:val="00101d86"/>
    <w:rPr>
      <w:rFonts w:ascii="Arial" w:hAnsi="Arial" w:cs="Times New Roman"/>
      <w:color w:val="000000"/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uiPriority w:val="99"/>
    <w:rsid w:val="00101d86"/>
    <w:pPr>
      <w:spacing w:lineRule="auto" w:line="240" w:before="0" w:after="0"/>
      <w:jc w:val="left"/>
    </w:pPr>
    <w:rPr>
      <w:rFonts w:ascii="Times New Roman" w:hAnsi="Times New Roman"/>
      <w:b/>
      <w:bCs/>
      <w:color w:val="auto"/>
      <w:sz w:val="24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pat"/>
    <w:link w:val="ZhlavChar"/>
    <w:uiPriority w:val="99"/>
    <w:rsid w:val="0020440b"/>
    <w:pPr>
      <w:ind w:left="1247" w:hanging="0"/>
    </w:pPr>
    <w:rPr/>
  </w:style>
  <w:style w:type="paragraph" w:styleId="Zpat">
    <w:name w:val="Footer"/>
    <w:basedOn w:val="Normal"/>
    <w:link w:val="ZpatChar"/>
    <w:uiPriority w:val="99"/>
    <w:rsid w:val="004d7d45"/>
    <w:pPr>
      <w:tabs>
        <w:tab w:val="clear" w:pos="708"/>
        <w:tab w:val="center" w:pos="4536" w:leader="none"/>
        <w:tab w:val="right" w:pos="9072" w:leader="none"/>
      </w:tabs>
      <w:spacing w:lineRule="exact" w:line="180"/>
      <w:ind w:left="1077" w:hanging="0"/>
      <w:jc w:val="center"/>
    </w:pPr>
    <w:rPr>
      <w:rFonts w:ascii="Gill Sans" w:hAnsi="Gill Sans"/>
      <w:color w:val="auto"/>
      <w:sz w:val="18"/>
      <w:szCs w:val="18"/>
    </w:rPr>
  </w:style>
  <w:style w:type="paragraph" w:styleId="Vnitrekzapati" w:customStyle="1">
    <w:name w:val="vnitrek zapati"/>
    <w:basedOn w:val="Zpat"/>
    <w:qFormat/>
    <w:rsid w:val="00814b56"/>
    <w:pPr/>
    <w:rPr>
      <w:rFonts w:cs="Arial"/>
      <w:color w:val="807F83"/>
    </w:rPr>
  </w:style>
  <w:style w:type="paragraph" w:styleId="Adresa" w:customStyle="1">
    <w:name w:val="Adresa"/>
    <w:basedOn w:val="Normal"/>
    <w:next w:val="Normal"/>
    <w:autoRedefine/>
    <w:qFormat/>
    <w:rsid w:val="00c82d30"/>
    <w:pPr>
      <w:spacing w:lineRule="atLeast" w:line="280"/>
      <w:ind w:left="142" w:firstLine="868"/>
      <w:jc w:val="right"/>
    </w:pPr>
    <w:rPr>
      <w:color w:val="auto"/>
      <w:szCs w:val="20"/>
    </w:rPr>
  </w:style>
  <w:style w:type="paragraph" w:styleId="DocumentMap">
    <w:name w:val="Document Map"/>
    <w:basedOn w:val="Normal"/>
    <w:link w:val="RozloendokumentuChar"/>
    <w:uiPriority w:val="99"/>
    <w:semiHidden/>
    <w:qFormat/>
    <w:rsid w:val="00d56f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odniosloveni" w:customStyle="1">
    <w:name w:val="uvodni osloveni"/>
    <w:basedOn w:val="Normal"/>
    <w:qFormat/>
    <w:rsid w:val="003c3415"/>
    <w:pPr>
      <w:spacing w:before="1200" w:after="120"/>
      <w:ind w:left="142" w:hanging="0"/>
    </w:pPr>
    <w:rPr>
      <w:szCs w:val="20"/>
    </w:rPr>
  </w:style>
  <w:style w:type="paragraph" w:styleId="BalloonText">
    <w:name w:val="Balloon Text"/>
    <w:basedOn w:val="Normal"/>
    <w:link w:val="TextbublinyChar"/>
    <w:uiPriority w:val="99"/>
    <w:qFormat/>
    <w:rsid w:val="003c3415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OdstavecseseznamemChar"/>
    <w:uiPriority w:val="34"/>
    <w:qFormat/>
    <w:rsid w:val="00101d86"/>
    <w:pPr>
      <w:spacing w:before="0" w:after="200"/>
      <w:ind w:left="720" w:hanging="0"/>
      <w:contextualSpacing/>
      <w:jc w:val="left"/>
    </w:pPr>
    <w:rPr>
      <w:rFonts w:ascii="Calibri" w:hAnsi="Calibri"/>
      <w:color w:val="auto"/>
      <w:szCs w:val="22"/>
      <w:lang w:eastAsia="en-US"/>
    </w:rPr>
  </w:style>
  <w:style w:type="paragraph" w:styleId="Wmmsonormal" w:customStyle="1">
    <w:name w:val="-wm-msonormal"/>
    <w:basedOn w:val="Normal"/>
    <w:qFormat/>
    <w:rsid w:val="00101d86"/>
    <w:pPr>
      <w:spacing w:lineRule="auto" w:line="240" w:beforeAutospacing="1" w:afterAutospacing="1"/>
      <w:jc w:val="left"/>
    </w:pPr>
    <w:rPr>
      <w:rFonts w:ascii="Calibri" w:hAnsi="Calibri" w:cs="Calibri"/>
      <w:color w:val="auto"/>
      <w:szCs w:val="22"/>
    </w:rPr>
  </w:style>
  <w:style w:type="paragraph" w:styleId="NormalWeb">
    <w:name w:val="Normal (Web)"/>
    <w:basedOn w:val="Normal"/>
    <w:uiPriority w:val="99"/>
    <w:semiHidden/>
    <w:unhideWhenUsed/>
    <w:qFormat/>
    <w:rsid w:val="00101d86"/>
    <w:pPr>
      <w:spacing w:lineRule="auto" w:line="240" w:beforeAutospacing="1" w:afterAutospacing="1"/>
      <w:jc w:val="left"/>
    </w:pPr>
    <w:rPr>
      <w:rFonts w:ascii="Calibri" w:hAnsi="Calibri" w:cs="Calibri"/>
      <w:color w:val="auto"/>
      <w:szCs w:val="22"/>
    </w:rPr>
  </w:style>
  <w:style w:type="paragraph" w:styleId="BodyText2">
    <w:name w:val="Body Text 2"/>
    <w:basedOn w:val="Normal"/>
    <w:link w:val="Zkladntext2Char"/>
    <w:uiPriority w:val="99"/>
    <w:semiHidden/>
    <w:unhideWhenUsed/>
    <w:qFormat/>
    <w:rsid w:val="00101d86"/>
    <w:pPr>
      <w:spacing w:lineRule="auto" w:line="480"/>
    </w:pPr>
    <w:rPr/>
  </w:style>
  <w:style w:type="paragraph" w:styleId="Zaznam" w:customStyle="1">
    <w:name w:val="Zaznam"/>
    <w:basedOn w:val="Zhlav"/>
    <w:qFormat/>
    <w:rsid w:val="00101d86"/>
    <w:pPr>
      <w:tabs>
        <w:tab w:val="clear" w:pos="4536"/>
        <w:tab w:val="clear" w:pos="9072"/>
      </w:tabs>
      <w:spacing w:lineRule="auto" w:line="240" w:before="20" w:after="40"/>
      <w:ind w:left="0" w:hanging="0"/>
      <w:jc w:val="left"/>
    </w:pPr>
    <w:rPr>
      <w:rFonts w:ascii="Times New Roman" w:hAnsi="Times New Roman"/>
      <w:sz w:val="24"/>
      <w:szCs w:val="24"/>
    </w:rPr>
  </w:style>
  <w:style w:type="paragraph" w:styleId="Standard" w:customStyle="1">
    <w:name w:val="Standard"/>
    <w:qFormat/>
    <w:rsid w:val="00101d86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cs-CZ" w:eastAsia="cs-CZ" w:bidi="ar-SA"/>
    </w:rPr>
  </w:style>
  <w:style w:type="paragraph" w:styleId="Zkladntext21" w:customStyle="1">
    <w:name w:val="Základní text 21"/>
    <w:basedOn w:val="Normal"/>
    <w:qFormat/>
    <w:rsid w:val="00101d86"/>
    <w:pPr>
      <w:overflowPunct w:val="true"/>
      <w:spacing w:lineRule="auto" w:line="240" w:before="0" w:after="0"/>
    </w:pPr>
    <w:rPr>
      <w:b/>
      <w:color w:val="auto"/>
      <w:szCs w:val="20"/>
    </w:rPr>
  </w:style>
  <w:style w:type="paragraph" w:styleId="Indent" w:customStyle="1">
    <w:name w:val="indent"/>
    <w:basedOn w:val="Normal"/>
    <w:qFormat/>
    <w:rsid w:val="00101d86"/>
    <w:pPr>
      <w:spacing w:lineRule="auto" w:line="240" w:before="48" w:after="48"/>
      <w:ind w:firstLine="480"/>
    </w:pPr>
    <w:rPr>
      <w:rFonts w:ascii="Times New Roman" w:hAnsi="Times New Roman"/>
      <w:color w:val="auto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6f46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EEF68-5F3F-4F7D-A64A-34B1405B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LibreOffice/7.1.6.2$Windows_X86_64 LibreOffice_project/0e133318fcee89abacd6a7d077e292f1145735c3</Application>
  <AppVersion>15.0000</AppVersion>
  <Pages>8</Pages>
  <Words>807</Words>
  <Characters>4890</Characters>
  <CharactersWithSpaces>5643</CharactersWithSpaces>
  <Paragraphs>117</Paragraphs>
  <Company>Ministerstvo zdravotnictví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2021-11-02T13:21:00Z</dcterms:created>
  <dc:creator>Stoličková Lenka Mgr.</dc:creator>
  <dc:description/>
  <dc:language>cs-CZ</dc:language>
  <cp:lastModifiedBy>Vozábová Eva Mgr.</cp:lastModifiedBy>
  <cp:lastPrinted>2021-11-03T10:21:00Z</cp:lastPrinted>
  <dcterms:modified xsi:type="dcterms:W3CDTF">2021-11-03T10:29:00Z</dcterms:modified>
  <cp:revision>17</cp:revision>
  <dc:subject/>
  <dc:title>Jméno Příjmení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