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</w:r>
    </w:p>
    <w:p>
      <w:pPr>
        <w:pStyle w:val="2"/>
        <w:rPr/>
      </w:pPr>
      <w:r>
        <w:rPr/>
        <w:t>…</w:t>
      </w:r>
    </w:p>
    <w:p>
      <w:pPr>
        <w:pStyle w:val="3"/>
        <w:rPr/>
      </w:pPr>
      <w:r>
        <w:rPr/>
        <w:t>VYHLÁŠKA</w:t>
      </w:r>
    </w:p>
    <w:p>
      <w:pPr>
        <w:pStyle w:val="4"/>
        <w:rPr/>
      </w:pPr>
      <w:r>
        <w:rPr/>
        <w:t xml:space="preserve">ze dne …, </w:t>
      </w:r>
    </w:p>
    <w:p>
      <w:pPr>
        <w:pStyle w:val="5"/>
        <w:rPr/>
      </w:pPr>
      <w:r>
        <w:rPr/>
        <w:t>kterou se mění vyhláška č. 310/2025 Sb., kterou se mění vyhláška č. 107/2005 Sb., o školním stravování, ve znění pozdějších předpisů</w:t>
      </w:r>
    </w:p>
    <w:p>
      <w:pPr>
        <w:pStyle w:val="6"/>
        <w:rPr/>
      </w:pPr>
      <w:r>
        <w:rPr/>
        <w:t>Ministerstvo školství, mládeže a tělovýchovy stanoví v dohodě s Ministerstvem zdravotnictví podle § 121 odst. 2 zákona č. 561/2004 Sb., o předškolním, základním, středním, vyšším odborném a jiném vzdělávání (školský zákon):</w:t>
      </w:r>
    </w:p>
    <w:p>
      <w:pPr>
        <w:pStyle w:val="1"/>
        <w:rPr/>
      </w:pPr>
      <w:r>
        <w:rPr/>
      </w:r>
    </w:p>
    <w:p>
      <w:pPr>
        <w:pStyle w:val="7"/>
        <w:rPr/>
      </w:pPr>
      <w:r>
        <w:rPr/>
        <w:t>Čl. I</w:t>
      </w:r>
    </w:p>
    <w:p>
      <w:pPr>
        <w:pStyle w:val="8"/>
        <w:rPr/>
      </w:pPr>
      <w:r>
        <w:rPr/>
        <w:t>Vyhláška č. 310/2025 Sb., kterou se mění vyhláška č. 107/2005 Sb., o školním stravování, ve znění pozdějších předpisů, se mění takto:</w:t>
      </w:r>
    </w:p>
    <w:p>
      <w:pPr>
        <w:pStyle w:val="9"/>
        <w:rPr/>
      </w:pPr>
      <w:r>
        <w:rPr/>
        <w:t>Čl. II zní:</w:t>
      </w:r>
    </w:p>
    <w:p>
      <w:pPr>
        <w:pStyle w:val="10"/>
        <w:rPr/>
      </w:pPr>
      <w:r>
        <w:rPr/>
      </w:r>
    </w:p>
    <w:p>
      <w:pPr>
        <w:pStyle w:val="11"/>
        <w:rPr/>
      </w:pPr>
      <w:r>
        <w:rPr/>
        <w:t>„</w:t>
      </w:r>
      <w:r>
        <w:rPr/>
        <w:t>Čl. II</w:t>
      </w:r>
    </w:p>
    <w:p>
      <w:pPr>
        <w:pStyle w:val="12"/>
        <w:rPr/>
      </w:pPr>
      <w:r>
        <w:rPr/>
        <w:t>Přechodné ustanovení</w:t>
      </w:r>
    </w:p>
    <w:p>
      <w:pPr>
        <w:pStyle w:val="13"/>
        <w:rPr/>
      </w:pPr>
      <w:r>
        <w:rPr/>
      </w:r>
    </w:p>
    <w:p>
      <w:pPr>
        <w:pStyle w:val="14"/>
        <w:rPr/>
      </w:pPr>
      <w:r>
        <w:rPr/>
        <w:t>Zařízení školního stravování nebo jiná osoba poskytující stravovací služby se může do 31. srpna 2027 řídit vyhláškou č. 107/2005 Sb., ve znění účinném přede dnem nabytí účinnosti této vyhlášky, s výjimkou § 4 odst. 10 a přílohy č. 2 vyhlášky č. 107/2005 Sb., ve znění účinném ode dne nabytí účinnosti této vyhlášky.“.</w:t>
      </w:r>
    </w:p>
    <w:p>
      <w:pPr>
        <w:pStyle w:val="7"/>
        <w:rPr/>
      </w:pPr>
      <w:r>
        <w:rPr/>
        <w:t>Čl. II</w:t>
      </w:r>
    </w:p>
    <w:p>
      <w:pPr>
        <w:pStyle w:val="15"/>
        <w:rPr/>
      </w:pPr>
      <w:r>
        <w:rPr/>
        <w:t>Účinnost</w:t>
      </w:r>
    </w:p>
    <w:p>
      <w:pPr>
        <w:pStyle w:val="1"/>
        <w:rPr/>
      </w:pPr>
      <w:r>
        <w:rPr/>
      </w:r>
    </w:p>
    <w:p>
      <w:pPr>
        <w:pStyle w:val="16"/>
        <w:rPr/>
      </w:pPr>
      <w:r>
        <w:rPr/>
        <w:t>Tato vyhláška nabývá účinnosti dnem 1. července 2026.</w:t>
      </w:r>
    </w:p>
    <w:p>
      <w:pPr>
        <w:pStyle w:val="1"/>
        <w:rPr/>
      </w:pPr>
      <w:r>
        <w:rPr/>
      </w:r>
    </w:p>
    <w:sectPr>
      <w:headerReference w:type="even" r:id="rId2"/>
      <w:headerReference w:type="default" r:id="rId3"/>
      <w:type w:val="nextPage"/>
      <w:pgSz w:w="12240" w:h="15840"/>
      <w:pgMar w:left="1417" w:right="1417" w:gutter="0" w:header="40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81"/>
      <w:gridCol w:w="2821"/>
      <w:gridCol w:w="2822"/>
      <w:gridCol w:w="1882"/>
    </w:tblGrid>
    <w:tr>
      <w:trPr/>
      <w:tc>
        <w:tcPr>
          <w:tcW w:w="9406" w:type="dxa"/>
          <w:gridSpan w:val="4"/>
          <w:tcBorders/>
        </w:tcPr>
        <w:p>
          <w:pPr>
            <w:pStyle w:val="HlavickaZlutyText"/>
            <w:jc w:val="center"/>
            <w:rPr/>
          </w:pPr>
          <w:r>
            <w:rPr/>
          </w:r>
        </w:p>
      </w:tc>
    </w:tr>
    <w:tr>
      <w:trPr/>
      <w:tc>
        <w:tcPr>
          <w:tcW w:w="1881" w:type="dxa"/>
          <w:tcBorders>
            <w:bottom w:val="single" w:sz="12" w:space="0" w:color="000000"/>
          </w:tcBorders>
        </w:tcPr>
        <w:p>
          <w:pPr>
            <w:pStyle w:val="Hlavicka"/>
            <w:jc w:val="start"/>
            <w:rPr/>
          </w:pPr>
          <w:r>
            <w:rPr/>
            <w:t xml:space="preserve">strana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</w:p>
      </w:tc>
      <w:tc>
        <w:tcPr>
          <w:tcW w:w="5643" w:type="dxa"/>
          <w:gridSpan w:val="2"/>
          <w:tcBorders>
            <w:bottom w:val="single" w:sz="12" w:space="0" w:color="000000"/>
          </w:tcBorders>
        </w:tcPr>
        <w:p>
          <w:pPr>
            <w:pStyle w:val="Hlavicka"/>
            <w:jc w:val="center"/>
            <w:rPr/>
          </w:pPr>
          <w:r>
            <w:rPr/>
            <w:t>Návrh aktu</w:t>
          </w:r>
        </w:p>
      </w:tc>
      <w:tc>
        <w:tcPr>
          <w:tcW w:w="1882" w:type="dxa"/>
          <w:tcBorders>
            <w:bottom w:val="single" w:sz="12" w:space="0" w:color="000000"/>
          </w:tcBorders>
        </w:tcPr>
        <w:p>
          <w:pPr>
            <w:pStyle w:val="Hlavicka"/>
            <w:jc w:val="end"/>
            <w:rPr/>
          </w:pPr>
          <w:r>
            <w:rPr/>
          </w:r>
        </w:p>
      </w:tc>
    </w:tr>
    <w:tr>
      <w:trPr/>
      <w:tc>
        <w:tcPr>
          <w:tcW w:w="4702" w:type="dxa"/>
          <w:gridSpan w:val="2"/>
          <w:tcBorders/>
        </w:tcPr>
        <w:p>
          <w:pPr>
            <w:pStyle w:val="Hlavicka"/>
            <w:jc w:val="start"/>
            <w:rPr/>
          </w:pPr>
          <w:r>
            <w:rPr/>
            <w:t>Uzavřená verze: 2026-0095-001-TVO</w:t>
          </w:r>
        </w:p>
      </w:tc>
      <w:tc>
        <w:tcPr>
          <w:tcW w:w="4704" w:type="dxa"/>
          <w:gridSpan w:val="2"/>
          <w:tcBorders/>
        </w:tcPr>
        <w:p>
          <w:pPr>
            <w:pStyle w:val="Hlavicka"/>
            <w:jc w:val="end"/>
            <w:rPr/>
          </w:pPr>
          <w:r>
            <w:rPr/>
          </w:r>
        </w:p>
      </w:tc>
    </w:tr>
  </w:tbl>
  <w:p>
    <w:pPr>
      <w:pStyle w:val="Hlavic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81"/>
      <w:gridCol w:w="2821"/>
      <w:gridCol w:w="2822"/>
      <w:gridCol w:w="1882"/>
    </w:tblGrid>
    <w:tr>
      <w:trPr/>
      <w:tc>
        <w:tcPr>
          <w:tcW w:w="9406" w:type="dxa"/>
          <w:gridSpan w:val="4"/>
          <w:tcBorders/>
        </w:tcPr>
        <w:p>
          <w:pPr>
            <w:pStyle w:val="HlavickaZlutyText"/>
            <w:jc w:val="center"/>
            <w:rPr/>
          </w:pPr>
          <w:r>
            <w:rPr/>
          </w:r>
        </w:p>
      </w:tc>
    </w:tr>
    <w:tr>
      <w:trPr/>
      <w:tc>
        <w:tcPr>
          <w:tcW w:w="1881" w:type="dxa"/>
          <w:tcBorders>
            <w:bottom w:val="single" w:sz="12" w:space="0" w:color="000000"/>
          </w:tcBorders>
        </w:tcPr>
        <w:p>
          <w:pPr>
            <w:pStyle w:val="Hlavicka"/>
            <w:jc w:val="start"/>
            <w:rPr/>
          </w:pPr>
          <w:r>
            <w:rPr/>
          </w:r>
        </w:p>
      </w:tc>
      <w:tc>
        <w:tcPr>
          <w:tcW w:w="5643" w:type="dxa"/>
          <w:gridSpan w:val="2"/>
          <w:tcBorders>
            <w:bottom w:val="single" w:sz="12" w:space="0" w:color="000000"/>
          </w:tcBorders>
        </w:tcPr>
        <w:p>
          <w:pPr>
            <w:pStyle w:val="Hlavicka"/>
            <w:jc w:val="center"/>
            <w:rPr/>
          </w:pPr>
          <w:r>
            <w:rPr/>
            <w:t>Návrh aktu</w:t>
          </w:r>
        </w:p>
      </w:tc>
      <w:tc>
        <w:tcPr>
          <w:tcW w:w="1882" w:type="dxa"/>
          <w:tcBorders>
            <w:bottom w:val="single" w:sz="12" w:space="0" w:color="000000"/>
          </w:tcBorders>
        </w:tcPr>
        <w:p>
          <w:pPr>
            <w:pStyle w:val="Hlavicka"/>
            <w:jc w:val="end"/>
            <w:rPr/>
          </w:pPr>
          <w:r>
            <w:rPr/>
            <w:t xml:space="preserve">strana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  <w:tr>
      <w:trPr/>
      <w:tc>
        <w:tcPr>
          <w:tcW w:w="4702" w:type="dxa"/>
          <w:gridSpan w:val="2"/>
          <w:tcBorders/>
        </w:tcPr>
        <w:p>
          <w:pPr>
            <w:pStyle w:val="Hlavicka"/>
            <w:jc w:val="start"/>
            <w:rPr/>
          </w:pPr>
          <w:r>
            <w:rPr/>
          </w:r>
        </w:p>
      </w:tc>
      <w:tc>
        <w:tcPr>
          <w:tcW w:w="4704" w:type="dxa"/>
          <w:gridSpan w:val="2"/>
          <w:tcBorders/>
        </w:tcPr>
        <w:p>
          <w:pPr>
            <w:pStyle w:val="Hlavicka"/>
            <w:jc w:val="end"/>
            <w:rPr/>
          </w:pPr>
          <w:r>
            <w:rPr/>
            <w:t>Uzavřená verze: 2026-0095-001-TVO</w:t>
          </w:r>
        </w:p>
      </w:tc>
    </w:tr>
  </w:tbl>
  <w:p>
    <w:pPr>
      <w:pStyle w:val="Hlavic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lavicka" w:customStyle="1">
    <w:name w:val="Hlavicka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cs-CZ" w:eastAsia="en-US" w:bidi="ar-SA"/>
    </w:rPr>
  </w:style>
  <w:style w:type="paragraph" w:styleId="HlavickaZlutyText" w:customStyle="1">
    <w:name w:val="HlavickaZlutyTex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i w:val="false"/>
      <w:color w:val="auto"/>
      <w:kern w:val="0"/>
      <w:sz w:val="18"/>
      <w:szCs w:val="20"/>
      <w:lang w:val="cs-CZ" w:eastAsia="en-US" w:bidi="ar-SA"/>
    </w:rPr>
  </w:style>
  <w:style w:type="paragraph" w:styleId="Variantastart" w:customStyle="1">
    <w:name w:val="Varianta_start"/>
    <w:qFormat/>
    <w:pPr>
      <w:widowControl/>
      <w:pBdr>
        <w:top w:val="single" w:sz="8" w:space="0" w:color="80008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konec" w:customStyle="1">
    <w:name w:val="Varianta_konec"/>
    <w:qFormat/>
    <w:pPr>
      <w:widowControl/>
      <w:pBdr>
        <w:bottom w:val="single" w:sz="8" w:space="0" w:color="80008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start" w:customStyle="1">
    <w:name w:val="Ucinnost_start"/>
    <w:qFormat/>
    <w:pPr>
      <w:widowControl/>
      <w:pBdr>
        <w:top w:val="single" w:sz="8" w:space="0" w:color="8B000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konec" w:customStyle="1">
    <w:name w:val="Ucinnost_konec"/>
    <w:qFormat/>
    <w:pPr>
      <w:widowControl/>
      <w:pBdr>
        <w:bottom w:val="single" w:sz="8" w:space="0" w:color="8B000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Celex" w:customStyle="1">
    <w:name w:val="Celex"/>
    <w:qFormat/>
    <w:pPr>
      <w:widowControl/>
      <w:bidi w:val="0"/>
      <w:spacing w:before="120" w:after="120"/>
      <w:jc w:val="star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cs-CZ" w:eastAsia="en-US" w:bidi="ar-SA"/>
    </w:rPr>
  </w:style>
  <w:style w:type="paragraph" w:styleId="Pripominkystart" w:customStyle="1">
    <w:name w:val="Pripominky_start"/>
    <w:qFormat/>
    <w:pPr>
      <w:widowControl/>
      <w:pBdr>
        <w:top w:val="single" w:sz="8" w:space="0" w:color="87CEFA"/>
      </w:pBdr>
      <w:bidi w:val="0"/>
      <w:spacing w:before="0" w:after="10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" w:customStyle="1">
    <w:name w:val="1"/>
    <w:qFormat/>
    <w:pPr>
      <w:widowControl/>
      <w:bidi w:val="0"/>
      <w:spacing w:before="11" w:after="0"/>
      <w:ind w:end="0"/>
      <w:jc w:val="start"/>
    </w:pPr>
    <w:rPr>
      <w:rFonts w:ascii="Times New Roman" w:hAnsi="Times New Roman" w:eastAsia="Times New Roman" w:cs="Times New Roman"/>
      <w:color w:val="auto"/>
      <w:kern w:val="0"/>
      <w:sz w:val="0"/>
      <w:szCs w:val="20"/>
      <w:lang w:val="cs-CZ" w:eastAsia="en-US" w:bidi="ar-SA"/>
    </w:rPr>
  </w:style>
  <w:style w:type="paragraph" w:styleId="2" w:customStyle="1">
    <w:name w:val="2"/>
    <w:qFormat/>
    <w:pPr>
      <w:widowControl/>
      <w:bidi w:val="0"/>
      <w:spacing w:before="57" w:after="227"/>
      <w:ind w:end="0"/>
      <w:jc w:val="center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cs-CZ" w:eastAsia="en-US" w:bidi="ar-SA"/>
    </w:rPr>
  </w:style>
  <w:style w:type="paragraph" w:styleId="3" w:customStyle="1">
    <w:name w:val="3"/>
    <w:qFormat/>
    <w:pPr>
      <w:widowControl/>
      <w:bidi w:val="0"/>
      <w:spacing w:before="0" w:after="0"/>
      <w:ind w:start="680" w:end="68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32"/>
      <w:szCs w:val="20"/>
      <w:lang w:val="cs-CZ" w:eastAsia="en-US" w:bidi="ar-SA"/>
    </w:rPr>
  </w:style>
  <w:style w:type="paragraph" w:styleId="4" w:customStyle="1">
    <w:name w:val="4"/>
    <w:qFormat/>
    <w:pPr>
      <w:widowControl/>
      <w:bidi w:val="0"/>
      <w:spacing w:before="0" w:after="170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cs-CZ" w:eastAsia="en-US" w:bidi="ar-SA"/>
    </w:rPr>
  </w:style>
  <w:style w:type="paragraph" w:styleId="5" w:customStyle="1">
    <w:name w:val="5"/>
    <w:qFormat/>
    <w:pPr>
      <w:widowControl/>
      <w:bidi w:val="0"/>
      <w:spacing w:before="340" w:after="113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34"/>
      <w:szCs w:val="20"/>
      <w:lang w:val="cs-CZ" w:eastAsia="en-US" w:bidi="ar-SA"/>
    </w:rPr>
  </w:style>
  <w:style w:type="paragraph" w:styleId="6" w:customStyle="1">
    <w:name w:val="6"/>
    <w:qFormat/>
    <w:pPr>
      <w:widowControl/>
      <w:bidi w:val="0"/>
      <w:spacing w:before="283" w:after="340"/>
      <w:ind w:end="0"/>
      <w:jc w:val="start"/>
    </w:pPr>
    <w:rPr>
      <w:rFonts w:ascii="Times New Roman" w:hAnsi="Times New Roman" w:eastAsia="Times New Roman" w:cs="Times New Roman"/>
      <w:color w:val="auto"/>
      <w:kern w:val="0"/>
      <w:sz w:val="30"/>
      <w:szCs w:val="20"/>
      <w:lang w:val="cs-CZ" w:eastAsia="en-US" w:bidi="ar-SA"/>
    </w:rPr>
  </w:style>
  <w:style w:type="paragraph" w:styleId="7" w:customStyle="1">
    <w:name w:val="7"/>
    <w:qFormat/>
    <w:pPr>
      <w:widowControl/>
      <w:overflowPunct w:val="false"/>
      <w:bidi w:val="0"/>
      <w:spacing w:before="227" w:after="113"/>
      <w:ind w:hanging="0" w:start="0" w:end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cs-CZ" w:eastAsia="en-US" w:bidi="ar-SA"/>
    </w:rPr>
  </w:style>
  <w:style w:type="paragraph" w:styleId="8" w:customStyle="1">
    <w:name w:val="8"/>
    <w:qFormat/>
    <w:pPr>
      <w:widowControl/>
      <w:bidi w:val="0"/>
      <w:spacing w:before="0" w:after="113"/>
      <w:ind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9" w:customStyle="1">
    <w:name w:val="9"/>
    <w:qFormat/>
    <w:pPr>
      <w:widowControl/>
      <w:bidi w:val="0"/>
      <w:spacing w:before="113" w:after="57"/>
      <w:ind w:start="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10" w:customStyle="1">
    <w:name w:val="10"/>
    <w:qFormat/>
    <w:pPr>
      <w:widowControl/>
      <w:bidi w:val="0"/>
      <w:spacing w:before="0" w:after="0"/>
      <w:ind w:start="340" w:end="0"/>
      <w:jc w:val="start"/>
    </w:pPr>
    <w:rPr>
      <w:rFonts w:ascii="Times New Roman" w:hAnsi="Times New Roman" w:eastAsia="Times New Roman" w:cs="Times New Roman"/>
      <w:color w:val="auto"/>
      <w:kern w:val="0"/>
      <w:sz w:val="0"/>
      <w:szCs w:val="20"/>
      <w:lang w:val="cs-CZ" w:eastAsia="en-US" w:bidi="ar-SA"/>
    </w:rPr>
  </w:style>
  <w:style w:type="paragraph" w:styleId="11" w:customStyle="1">
    <w:name w:val="11"/>
    <w:qFormat/>
    <w:pPr>
      <w:widowControl/>
      <w:overflowPunct w:val="false"/>
      <w:bidi w:val="0"/>
      <w:spacing w:before="227" w:after="113"/>
      <w:ind w:hanging="0" w:start="340" w:end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cs-CZ" w:eastAsia="en-US" w:bidi="ar-SA"/>
    </w:rPr>
  </w:style>
  <w:style w:type="paragraph" w:styleId="12" w:customStyle="1">
    <w:name w:val="12"/>
    <w:qFormat/>
    <w:pPr>
      <w:widowControl/>
      <w:bidi w:val="0"/>
      <w:spacing w:before="0" w:after="57"/>
      <w:ind w:start="1191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cs-CZ" w:eastAsia="en-US" w:bidi="ar-SA"/>
    </w:rPr>
  </w:style>
  <w:style w:type="paragraph" w:styleId="13" w:customStyle="1">
    <w:name w:val="13"/>
    <w:qFormat/>
    <w:pPr>
      <w:widowControl/>
      <w:bidi w:val="0"/>
      <w:spacing w:before="11" w:after="0"/>
      <w:ind w:start="340" w:end="0"/>
      <w:jc w:val="start"/>
    </w:pPr>
    <w:rPr>
      <w:rFonts w:ascii="Times New Roman" w:hAnsi="Times New Roman" w:eastAsia="Times New Roman" w:cs="Times New Roman"/>
      <w:color w:val="auto"/>
      <w:kern w:val="0"/>
      <w:sz w:val="0"/>
      <w:szCs w:val="20"/>
      <w:lang w:val="cs-CZ" w:eastAsia="en-US" w:bidi="ar-SA"/>
    </w:rPr>
  </w:style>
  <w:style w:type="paragraph" w:styleId="14" w:customStyle="1">
    <w:name w:val="14"/>
    <w:qFormat/>
    <w:pPr>
      <w:widowControl/>
      <w:bidi w:val="0"/>
      <w:spacing w:before="0" w:after="57"/>
      <w:ind w:start="34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15" w:customStyle="1">
    <w:name w:val="15"/>
    <w:qFormat/>
    <w:pPr>
      <w:widowControl/>
      <w:bidi w:val="0"/>
      <w:spacing w:before="0" w:after="57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cs-CZ" w:eastAsia="en-US" w:bidi="ar-SA"/>
    </w:rPr>
  </w:style>
  <w:style w:type="paragraph" w:styleId="16" w:customStyle="1">
    <w:name w:val="16"/>
    <w:qFormat/>
    <w:pPr>
      <w:widowControl/>
      <w:bidi w:val="0"/>
      <w:spacing w:before="0" w:after="57"/>
      <w:ind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numbering" w:styleId="Bezseznamu" w:default="1">
    <w:name w:val="Bez seznamu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LibreOffice/26.2.2.2$Windows_X86_64 LibreOffice_project/1f77d10d6938fd34972958f64b2bcfa54f8b1ba5</Application>
  <AppVersion>15.0000</AppVersion>
  <Pages>1</Pages>
  <Words>164</Words>
  <Characters>891</Characters>
  <CharactersWithSpaces>1036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